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4C25" w14:textId="4A49A85C" w:rsidR="002B634C" w:rsidRPr="002B634C" w:rsidRDefault="002B634C" w:rsidP="00361966">
      <w:pPr>
        <w:pStyle w:val="Heading1"/>
        <w:spacing w:before="0" w:after="0" w:line="240" w:lineRule="auto"/>
      </w:pPr>
      <w:r w:rsidRPr="002B634C">
        <w:t>Disability Rights Fund and Disability Advocacy Fund 2024 Annual Report</w:t>
      </w:r>
      <w:r w:rsidR="00053D2F">
        <w:t xml:space="preserve">: </w:t>
      </w:r>
      <w:r w:rsidRPr="00053D2F">
        <w:rPr>
          <w:b w:val="0"/>
          <w:bCs/>
        </w:rPr>
        <w:t>Rooted in Disability Inclusion, Rising in Collective Power</w:t>
      </w:r>
    </w:p>
    <w:p w14:paraId="0C160312" w14:textId="77777777" w:rsidR="00826E0F" w:rsidRDefault="00826E0F" w:rsidP="002B634C"/>
    <w:p w14:paraId="598E950F" w14:textId="447D0AD9" w:rsidR="002B634C" w:rsidRPr="002B634C" w:rsidRDefault="002B634C" w:rsidP="002B634C">
      <w:r w:rsidRPr="002B634C">
        <w:t>Dear Friends and Partners,</w:t>
      </w:r>
    </w:p>
    <w:p w14:paraId="4DF939C3" w14:textId="77777777" w:rsidR="002B634C" w:rsidRPr="002B634C" w:rsidRDefault="002B634C" w:rsidP="002B634C">
      <w:r w:rsidRPr="002B634C">
        <w:t xml:space="preserve">As we reflect on 2024, we do so with deep pride and a renewed sense of purpose. This year marked a pivotal moment for the Disability Rights Fund (DRF) with the launch of our five-year strategic plan, Disability-Led Futures for a Just World. Shaped by the leadership and vision of disability movements in the Global South, this plan is not only a guide — it is a call to action, rooted in our intersectional values and our commitment to justice. </w:t>
      </w:r>
    </w:p>
    <w:p w14:paraId="6D29DB75" w14:textId="77777777" w:rsidR="002B634C" w:rsidRPr="002B634C" w:rsidRDefault="002B634C" w:rsidP="002B634C">
      <w:r w:rsidRPr="002B634C">
        <w:t xml:space="preserve">We also introduced a new brand identity that reflects the spirit and strength of our work: igniting movements and building solidarity. With our strategic plan and new identity in motion, we are moving forward with vitality and a collective vision for transformation. </w:t>
      </w:r>
    </w:p>
    <w:p w14:paraId="79D50DBD" w14:textId="77777777" w:rsidR="002B634C" w:rsidRPr="002B634C" w:rsidRDefault="002B634C" w:rsidP="002B634C">
      <w:r w:rsidRPr="002B634C">
        <w:t xml:space="preserve">In a time of profound global uncertainty and injustice, we are more convinced than ever that disability rights movements are driving the solutions the world urgently needs. Across regions, DRF’s grantee partners are boldly reshaping communities toward dignity and equity. In Nigeria, our partners are advocating for disability-inclusive gender-based violence prevention services. In Nepal, Indigenous women and girls with disabilities are organizing to advance their collective rights with a disability lens. Across Pacific Island Nations, disability movements are leading calls for inclusive climate action and humanitarian response. </w:t>
      </w:r>
    </w:p>
    <w:p w14:paraId="3F208758" w14:textId="77777777" w:rsidR="002B634C" w:rsidRPr="002B634C" w:rsidRDefault="002B634C" w:rsidP="002B634C">
      <w:r w:rsidRPr="002B634C">
        <w:t xml:space="preserve">Looking forward, we affirm our commitment to participatory and trust-based philanthropy that shifts resources and decision-making power to grassroots movements. We will continue to build deep, strategic partnerships across movements and sectors for a shared vision for systemic change: Centering disability justice and intersectional feminist values is not optional — it is essential for the futures we are working to create. </w:t>
      </w:r>
    </w:p>
    <w:p w14:paraId="5DF522E5" w14:textId="77777777" w:rsidR="002B634C" w:rsidRPr="002B634C" w:rsidRDefault="002B634C" w:rsidP="002B634C">
      <w:r w:rsidRPr="002B634C">
        <w:t xml:space="preserve">We remain grateful to our community of supporters who believe in this pursuit of justice. Together, with shared purpose, we will continue to advance disability-led futures for a just world. </w:t>
      </w:r>
    </w:p>
    <w:p w14:paraId="33535F21" w14:textId="798867A4" w:rsidR="002B634C" w:rsidRPr="002B634C" w:rsidRDefault="002B634C" w:rsidP="002B634C">
      <w:r w:rsidRPr="002B634C">
        <w:t>Gratitude,</w:t>
      </w:r>
      <w:r w:rsidR="00FE6A62">
        <w:t xml:space="preserve"> </w:t>
      </w:r>
      <w:r w:rsidRPr="002B634C">
        <w:t>Lorraine Wapling</w:t>
      </w:r>
      <w:r w:rsidR="00FE6A62">
        <w:t xml:space="preserve">, </w:t>
      </w:r>
      <w:r w:rsidRPr="002B634C">
        <w:t>Former Interim Executive Director, Disability Rights Fund</w:t>
      </w:r>
    </w:p>
    <w:p w14:paraId="4AC503C6" w14:textId="306D7D25" w:rsidR="002B634C" w:rsidRPr="002B634C" w:rsidRDefault="002B634C" w:rsidP="00361966">
      <w:pPr>
        <w:pStyle w:val="Heading2"/>
      </w:pPr>
      <w:r w:rsidRPr="002B634C">
        <w:lastRenderedPageBreak/>
        <w:t>Values</w:t>
      </w:r>
    </w:p>
    <w:p w14:paraId="4912FCB1" w14:textId="77777777" w:rsidR="002B634C" w:rsidRPr="002B634C" w:rsidRDefault="002B634C" w:rsidP="002B634C">
      <w:pPr>
        <w:pStyle w:val="ListParagraph"/>
        <w:numPr>
          <w:ilvl w:val="0"/>
          <w:numId w:val="2"/>
        </w:numPr>
      </w:pPr>
      <w:r w:rsidRPr="002B634C">
        <w:t xml:space="preserve">We celebrate human diversity and disability pride. </w:t>
      </w:r>
    </w:p>
    <w:p w14:paraId="750639AA" w14:textId="77777777" w:rsidR="002B634C" w:rsidRPr="002B634C" w:rsidRDefault="002B634C" w:rsidP="002B634C">
      <w:pPr>
        <w:pStyle w:val="ListParagraph"/>
        <w:numPr>
          <w:ilvl w:val="0"/>
          <w:numId w:val="2"/>
        </w:numPr>
      </w:pPr>
      <w:r w:rsidRPr="002B634C">
        <w:t xml:space="preserve">We value the participation, access, and inclusion of all persons with disabilities to promote human rights. </w:t>
      </w:r>
    </w:p>
    <w:p w14:paraId="38AAF1B7" w14:textId="1107D86B" w:rsidR="002B634C" w:rsidRPr="002B634C" w:rsidRDefault="002B634C" w:rsidP="002B634C">
      <w:pPr>
        <w:pStyle w:val="ListParagraph"/>
        <w:numPr>
          <w:ilvl w:val="0"/>
          <w:numId w:val="2"/>
        </w:numPr>
      </w:pPr>
      <w:r w:rsidRPr="002B634C">
        <w:t xml:space="preserve">We embrace learning from success and failure as a powerful means of transformation. </w:t>
      </w:r>
    </w:p>
    <w:p w14:paraId="2D47BA11" w14:textId="77777777" w:rsidR="002B634C" w:rsidRPr="002B634C" w:rsidRDefault="002B634C" w:rsidP="002B634C">
      <w:pPr>
        <w:pStyle w:val="ListParagraph"/>
        <w:numPr>
          <w:ilvl w:val="0"/>
          <w:numId w:val="2"/>
        </w:numPr>
      </w:pPr>
      <w:r w:rsidRPr="002B634C">
        <w:t xml:space="preserve">We bring an intersectional feminist approach to our work. </w:t>
      </w:r>
    </w:p>
    <w:p w14:paraId="331E52BF" w14:textId="0ADF22D3" w:rsidR="002B634C" w:rsidRPr="002B634C" w:rsidRDefault="002B634C" w:rsidP="002B634C">
      <w:pPr>
        <w:pStyle w:val="ListParagraph"/>
        <w:numPr>
          <w:ilvl w:val="0"/>
          <w:numId w:val="2"/>
        </w:numPr>
      </w:pPr>
      <w:r w:rsidRPr="002B634C">
        <w:t xml:space="preserve">We base our relationships on collaboration, solidarity, interdependence, joy, and accountability. </w:t>
      </w:r>
    </w:p>
    <w:p w14:paraId="5860D0D2" w14:textId="3906950E" w:rsidR="002B634C" w:rsidRPr="002B634C" w:rsidRDefault="002B634C" w:rsidP="00361966">
      <w:pPr>
        <w:pStyle w:val="Heading2"/>
      </w:pPr>
      <w:r w:rsidRPr="002B634C">
        <w:t>Values in Action: Our Model</w:t>
      </w:r>
    </w:p>
    <w:p w14:paraId="2DC1D1AE" w14:textId="3A64686B" w:rsidR="002B634C" w:rsidRPr="002B634C" w:rsidRDefault="002B634C" w:rsidP="002B634C">
      <w:pPr>
        <w:pStyle w:val="ListParagraph"/>
        <w:numPr>
          <w:ilvl w:val="0"/>
          <w:numId w:val="3"/>
        </w:numPr>
      </w:pPr>
      <w:r w:rsidRPr="002B634C">
        <w:t xml:space="preserve">76% of our team members identify as Black, Indigenous, and/or Persons of Color. </w:t>
      </w:r>
    </w:p>
    <w:p w14:paraId="1B1E407D" w14:textId="7B59EF88" w:rsidR="002B634C" w:rsidRPr="002B634C" w:rsidRDefault="002B634C" w:rsidP="002B634C">
      <w:pPr>
        <w:pStyle w:val="ListParagraph"/>
        <w:numPr>
          <w:ilvl w:val="0"/>
          <w:numId w:val="3"/>
        </w:numPr>
      </w:pPr>
      <w:r w:rsidRPr="002B634C">
        <w:t>69% of our grantmaking from the regular cycle was awarded to marginalized identities within disability rights movements.</w:t>
      </w:r>
    </w:p>
    <w:p w14:paraId="02B40C33" w14:textId="07A2D8F7" w:rsidR="002B634C" w:rsidRPr="002B634C" w:rsidRDefault="002B634C" w:rsidP="002B634C">
      <w:pPr>
        <w:pStyle w:val="ListParagraph"/>
        <w:numPr>
          <w:ilvl w:val="0"/>
          <w:numId w:val="3"/>
        </w:numPr>
      </w:pPr>
      <w:r w:rsidRPr="002B634C">
        <w:t xml:space="preserve">100% of our board members identify as persons with disabilities. </w:t>
      </w:r>
    </w:p>
    <w:p w14:paraId="4A297772" w14:textId="261906D3" w:rsidR="004E7342" w:rsidRDefault="004E7342" w:rsidP="00361966">
      <w:pPr>
        <w:pStyle w:val="Heading2"/>
      </w:pPr>
      <w:r w:rsidRPr="004E7342">
        <w:t>Our Strategic Pillars</w:t>
      </w:r>
      <w:r>
        <w:t xml:space="preserve">: </w:t>
      </w:r>
      <w:r w:rsidRPr="004E7342">
        <w:t>Disability Rights at the Forefront of Every Movement!</w:t>
      </w:r>
    </w:p>
    <w:p w14:paraId="6A2E08B5" w14:textId="44130923" w:rsidR="004E7342" w:rsidRDefault="004E7342" w:rsidP="004E7342">
      <w:pPr>
        <w:pStyle w:val="ListParagraph"/>
        <w:numPr>
          <w:ilvl w:val="0"/>
          <w:numId w:val="5"/>
        </w:numPr>
      </w:pPr>
      <w:r w:rsidRPr="004E7342">
        <w:t>Unleashing the power of disability movements in the Global South</w:t>
      </w:r>
    </w:p>
    <w:p w14:paraId="61271D65" w14:textId="20C81218" w:rsidR="004E7342" w:rsidRDefault="004E7342" w:rsidP="004E7342">
      <w:pPr>
        <w:pStyle w:val="ListParagraph"/>
        <w:numPr>
          <w:ilvl w:val="0"/>
          <w:numId w:val="5"/>
        </w:numPr>
      </w:pPr>
      <w:r w:rsidRPr="004E7342">
        <w:t>Driving change and solutions through peer and collective learning</w:t>
      </w:r>
    </w:p>
    <w:p w14:paraId="448AF136" w14:textId="77777777" w:rsidR="00361966" w:rsidRDefault="00361966" w:rsidP="00361966">
      <w:pPr>
        <w:pStyle w:val="ListParagraph"/>
        <w:numPr>
          <w:ilvl w:val="0"/>
          <w:numId w:val="5"/>
        </w:numPr>
      </w:pPr>
      <w:r w:rsidRPr="004E7342">
        <w:t>Opening spaces to advocate for disability inclusion and participation</w:t>
      </w:r>
    </w:p>
    <w:p w14:paraId="1DD0B314" w14:textId="7F411AE0" w:rsidR="004E7342" w:rsidRDefault="004E7342" w:rsidP="004E7342">
      <w:pPr>
        <w:pStyle w:val="ListParagraph"/>
        <w:numPr>
          <w:ilvl w:val="0"/>
          <w:numId w:val="5"/>
        </w:numPr>
      </w:pPr>
      <w:r w:rsidRPr="004E7342">
        <w:t>Strengthening DRF for sustainable and values-centric growth</w:t>
      </w:r>
    </w:p>
    <w:p w14:paraId="7FB4E417" w14:textId="61546201" w:rsidR="00361966" w:rsidRDefault="00361966" w:rsidP="00361966">
      <w:pPr>
        <w:pStyle w:val="Heading2"/>
      </w:pPr>
      <w:r w:rsidRPr="004E7342">
        <w:t>Unleashing the power of disability movements in the Global South</w:t>
      </w:r>
    </w:p>
    <w:p w14:paraId="6FCE44AF" w14:textId="77777777" w:rsidR="00433AEE" w:rsidRPr="00433AEE" w:rsidRDefault="00433AEE" w:rsidP="00433AEE">
      <w:r w:rsidRPr="00433AEE">
        <w:t xml:space="preserve">At the heart of our purpose is a strong belief that disability movements are solutionary and visionary, creating necessary holistic shifts for justice and inclusion. </w:t>
      </w:r>
    </w:p>
    <w:p w14:paraId="3B9A7A58" w14:textId="572DD0C7" w:rsidR="00433AEE" w:rsidRPr="00433AEE" w:rsidRDefault="00433AEE" w:rsidP="00433AEE">
      <w:r w:rsidRPr="00433AEE">
        <w:t>This is the core of the first pillar of our strategic plan: unleashing the power of disability movements in the Global South. We support grassroots organizations of persons with disabilities (OPDs) with resources that honor their lived experiences and autonomy, enabling them to mobilize, organize, and create the systemic shifts needed for inclusion.</w:t>
      </w:r>
    </w:p>
    <w:p w14:paraId="1B9EB118" w14:textId="77777777" w:rsidR="00433AEE" w:rsidRPr="00433AEE" w:rsidRDefault="00433AEE" w:rsidP="00433AEE">
      <w:pPr>
        <w:pStyle w:val="Heading3"/>
      </w:pPr>
      <w:r w:rsidRPr="00433AEE">
        <w:lastRenderedPageBreak/>
        <w:t>2024 Milestones that Embody Movement Power:</w:t>
      </w:r>
    </w:p>
    <w:p w14:paraId="31FCA5B5" w14:textId="77777777" w:rsidR="00433AEE" w:rsidRPr="00433AEE" w:rsidRDefault="00433AEE" w:rsidP="00433AEE">
      <w:pPr>
        <w:pStyle w:val="Heading4"/>
      </w:pPr>
      <w:r w:rsidRPr="00433AEE">
        <w:t>Climate Justice</w:t>
      </w:r>
    </w:p>
    <w:p w14:paraId="446DEF3D" w14:textId="71B49206" w:rsidR="00433AEE" w:rsidRPr="00433AEE" w:rsidRDefault="00433AEE" w:rsidP="00433AEE">
      <w:pPr>
        <w:pStyle w:val="ListParagraph"/>
        <w:numPr>
          <w:ilvl w:val="0"/>
          <w:numId w:val="6"/>
        </w:numPr>
      </w:pPr>
      <w:r w:rsidRPr="00433AEE">
        <w:t>In Uganda, Integrated Disabled Women Activities successfully advocated for disability-inclusive anti-gender-based violence and climate justice policy in Kaliro District.</w:t>
      </w:r>
    </w:p>
    <w:p w14:paraId="487FD2DF" w14:textId="77777777" w:rsidR="00433AEE" w:rsidRPr="00433AEE" w:rsidRDefault="00433AEE" w:rsidP="00433AEE">
      <w:pPr>
        <w:pStyle w:val="ListParagraph"/>
        <w:numPr>
          <w:ilvl w:val="0"/>
          <w:numId w:val="6"/>
        </w:numPr>
      </w:pPr>
      <w:r w:rsidRPr="00433AEE">
        <w:t>In Nigeria, the Network of Women with Disabilities established a climate action network to advocate for disability-inclusive climate policies and programs.</w:t>
      </w:r>
      <w:r w:rsidRPr="00433AEE">
        <w:rPr>
          <w:rFonts w:ascii="Arial" w:hAnsi="Arial" w:cs="Arial"/>
        </w:rPr>
        <w:t>  </w:t>
      </w:r>
      <w:r w:rsidRPr="00433AEE">
        <w:t xml:space="preserve"> </w:t>
      </w:r>
    </w:p>
    <w:p w14:paraId="6AC99B70" w14:textId="2ACC10FD" w:rsidR="00433AEE" w:rsidRPr="00433AEE" w:rsidRDefault="00433AEE" w:rsidP="00433AEE">
      <w:pPr>
        <w:pStyle w:val="ListParagraph"/>
        <w:numPr>
          <w:ilvl w:val="0"/>
          <w:numId w:val="6"/>
        </w:numPr>
      </w:pPr>
      <w:r w:rsidRPr="00433AEE">
        <w:t>In Nigeria, Hope Alive for Possibilities Initiative advocated for the enactment of a disability law in Benue State. As a result of sustained engagements, the Benue State Emergency Management Agency established a special fund to address the effects of climate change on persons with disabilities.</w:t>
      </w:r>
    </w:p>
    <w:p w14:paraId="535CFD24" w14:textId="77777777" w:rsidR="00433AEE" w:rsidRPr="00433AEE" w:rsidRDefault="00433AEE" w:rsidP="00433AEE">
      <w:pPr>
        <w:pStyle w:val="Heading4"/>
      </w:pPr>
      <w:r w:rsidRPr="00433AEE">
        <w:t>Inclusive Health</w:t>
      </w:r>
    </w:p>
    <w:p w14:paraId="316825D2" w14:textId="44F00E96" w:rsidR="00433AEE" w:rsidRPr="00433AEE" w:rsidRDefault="00433AEE" w:rsidP="00433AEE">
      <w:pPr>
        <w:pStyle w:val="ListParagraph"/>
        <w:numPr>
          <w:ilvl w:val="0"/>
          <w:numId w:val="7"/>
        </w:numPr>
      </w:pPr>
      <w:r w:rsidRPr="00433AEE">
        <w:t>In Rwanda, thanks to the advocacy of the Organization for Integration and Promotion of People with Albinism, the Ministry of Health strengthened and decentralized its efforts to address and prevent skin cancer among persons with Albinism.</w:t>
      </w:r>
    </w:p>
    <w:p w14:paraId="2E047EC2" w14:textId="77777777" w:rsidR="00433AEE" w:rsidRPr="00433AEE" w:rsidRDefault="00433AEE" w:rsidP="00433AEE">
      <w:pPr>
        <w:pStyle w:val="Heading4"/>
      </w:pPr>
      <w:r w:rsidRPr="00433AEE">
        <w:t>Gender Justice</w:t>
      </w:r>
    </w:p>
    <w:p w14:paraId="7D7F9DEF" w14:textId="77777777" w:rsidR="00433AEE" w:rsidRPr="00433AEE" w:rsidRDefault="00433AEE" w:rsidP="00433AEE">
      <w:pPr>
        <w:pStyle w:val="ListParagraph"/>
        <w:numPr>
          <w:ilvl w:val="0"/>
          <w:numId w:val="7"/>
        </w:numPr>
      </w:pPr>
      <w:r w:rsidRPr="00433AEE">
        <w:t xml:space="preserve">The </w:t>
      </w:r>
      <w:proofErr w:type="spellStart"/>
      <w:r w:rsidRPr="00433AEE">
        <w:t>Organisation</w:t>
      </w:r>
      <w:proofErr w:type="spellEnd"/>
      <w:r w:rsidRPr="00433AEE">
        <w:t xml:space="preserve"> of Women with Disabilities for Health Promotion and Development in Rwanda (OWDHP) produced quarterly radio shows to facilitate a national dialogue and present a policy brief on the inclusion of women with disabilities in policies for gender-based violence (GBV) prevention. OWDHP is now part of the cluster organizations invited by the government of Rwanda to provide input in the ongoing review of the GBV law and policy. </w:t>
      </w:r>
    </w:p>
    <w:p w14:paraId="23DAC247" w14:textId="0D764B35" w:rsidR="00433AEE" w:rsidRPr="00433AEE" w:rsidRDefault="00433AEE" w:rsidP="006770F2">
      <w:pPr>
        <w:pStyle w:val="ListParagraph"/>
        <w:numPr>
          <w:ilvl w:val="0"/>
          <w:numId w:val="7"/>
        </w:numPr>
      </w:pPr>
      <w:r w:rsidRPr="00433AEE">
        <w:t>Our feminist partners in Nepal, led by the National Indigenous Disabled Women Association Nepal, shared the challenges of women and girls with disabilities in the Asia-Pacific Ministerial Conference on the Beijing +30 Review. This marked the first ever consultation of women with disabilities in Nepal for Beijing +30 and resulted in the Kathmandu Declaration</w:t>
      </w:r>
      <w:r w:rsidR="006770F2" w:rsidRPr="006770F2">
        <w:t>—</w:t>
      </w:r>
      <w:r w:rsidRPr="00433AEE">
        <w:t xml:space="preserve">A Collective Call to Action. </w:t>
      </w:r>
    </w:p>
    <w:p w14:paraId="1A5BD95D" w14:textId="77777777" w:rsidR="00433AEE" w:rsidRPr="00433AEE" w:rsidRDefault="00433AEE" w:rsidP="00433AEE">
      <w:pPr>
        <w:pStyle w:val="Heading4"/>
      </w:pPr>
      <w:r w:rsidRPr="00433AEE">
        <w:t>Inclusive Policies and Participation</w:t>
      </w:r>
    </w:p>
    <w:p w14:paraId="50AE87C5" w14:textId="77777777" w:rsidR="00433AEE" w:rsidRPr="00433AEE" w:rsidRDefault="00433AEE" w:rsidP="00433AEE">
      <w:pPr>
        <w:pStyle w:val="ListParagraph"/>
        <w:numPr>
          <w:ilvl w:val="0"/>
          <w:numId w:val="8"/>
        </w:numPr>
      </w:pPr>
      <w:r w:rsidRPr="00433AEE">
        <w:t>Indonesia Mental Health Association led a coalition of OPDs to draft a government regulation for Concessions for Persons with Disabilities, a major step toward inclusive social protection systems.</w:t>
      </w:r>
    </w:p>
    <w:p w14:paraId="529B793E" w14:textId="77777777" w:rsidR="00433AEE" w:rsidRPr="00433AEE" w:rsidRDefault="00433AEE" w:rsidP="00433AEE">
      <w:pPr>
        <w:pStyle w:val="ListParagraph"/>
        <w:numPr>
          <w:ilvl w:val="0"/>
          <w:numId w:val="8"/>
        </w:numPr>
      </w:pPr>
      <w:r w:rsidRPr="00433AEE">
        <w:t>Our partners, KOSHISH, the National Federation of Deaf, and the National Indigenous Disabled Women Association, led a national consultation with 300 OPDs across all provinces, which centered marginalized groups to gather feedback to amend the Nepalese Act on the Rights of Persons with Disabilities.</w:t>
      </w:r>
    </w:p>
    <w:p w14:paraId="31870FD9" w14:textId="04BC404B" w:rsidR="00433AEE" w:rsidRPr="00433AEE" w:rsidRDefault="00433AEE" w:rsidP="00433AEE">
      <w:pPr>
        <w:pStyle w:val="ListParagraph"/>
        <w:numPr>
          <w:ilvl w:val="0"/>
          <w:numId w:val="8"/>
        </w:numPr>
      </w:pPr>
      <w:r w:rsidRPr="00433AEE">
        <w:lastRenderedPageBreak/>
        <w:t>In Haiti, our grassroots partners led the first disability rights forum in rural areas, secured accessibility improvements in public spaces, trained community members on disability-inclusive data collection, and made recommendations to influence national disaster-risk-reduction policies.</w:t>
      </w:r>
    </w:p>
    <w:p w14:paraId="624E6DEF" w14:textId="2577C6E2" w:rsidR="00433AEE" w:rsidRPr="00433AEE" w:rsidRDefault="00433AEE" w:rsidP="00433AEE">
      <w:pPr>
        <w:pStyle w:val="ListParagraph"/>
        <w:numPr>
          <w:ilvl w:val="0"/>
          <w:numId w:val="8"/>
        </w:numPr>
      </w:pPr>
      <w:r w:rsidRPr="00433AEE">
        <w:t>Nuanua O Le Alofa participated in the monitoring of the Sustainable Development Goals for Samoa's Third Volunteer National Review report by partnering with the United Nations Resident Coordinator's Office.</w:t>
      </w:r>
    </w:p>
    <w:p w14:paraId="11063BA9" w14:textId="10A96D84" w:rsidR="00433AEE" w:rsidRPr="00433AEE" w:rsidRDefault="00433AEE" w:rsidP="00433AEE">
      <w:r>
        <w:t>“</w:t>
      </w:r>
      <w:r w:rsidRPr="00433AEE">
        <w:t xml:space="preserve">The Asia Pacific Ministerial Conference on Beijing + 30 Review was a historical moment for women with disabilities from Nepal and Indigenous women with disabilities from Asia Pacific regions as they brought grassroots intersectional issues and concerns relating with 12 critical areas expanding the rich conversations within feminist movement.” </w:t>
      </w:r>
      <w:r>
        <w:t xml:space="preserve">- </w:t>
      </w:r>
      <w:r w:rsidRPr="00433AEE">
        <w:t>Pratima Gurung, Convenor, Asia Pacific Indigenous with Disabilities Network</w:t>
      </w:r>
    </w:p>
    <w:p w14:paraId="599F44D5" w14:textId="77777777" w:rsidR="00361966" w:rsidRDefault="00361966" w:rsidP="00361966">
      <w:pPr>
        <w:pStyle w:val="Heading2"/>
      </w:pPr>
      <w:r w:rsidRPr="004E7342">
        <w:t>Driving change and solutions through peer and collective learning</w:t>
      </w:r>
    </w:p>
    <w:p w14:paraId="1D92D8EE" w14:textId="77777777" w:rsidR="00433AEE" w:rsidRPr="00433AEE" w:rsidRDefault="00433AEE" w:rsidP="00433AEE">
      <w:r w:rsidRPr="00433AEE">
        <w:t>Grounded on the values of interdependence and solidarity, the second pillar of our strategic plan centers collective learning across disability and other human rights movements. In 2024, DRF resourced in-person peer and collective learning gatherings in Malawi, Nigeria, Nepal, Uganda, and Indonesia.</w:t>
      </w:r>
    </w:p>
    <w:p w14:paraId="2598DE08" w14:textId="77777777" w:rsidR="00433AEE" w:rsidRPr="00433AEE" w:rsidRDefault="00433AEE" w:rsidP="00433AEE">
      <w:r w:rsidRPr="00433AEE">
        <w:t>In Nigeria, our grantees explored opportunities for movement growth and impact, bringing together 25 former and current partners. In Malawi, grantees celebrated the passing of the new Disability Act and deepened understanding on the Africa Disability Protocol. In Nepal, our partners dialogued on diversifying the disability movement with an intersectional approach centering Dalit, Indigenous, and other marginalized voices from remote mountain communities.</w:t>
      </w:r>
    </w:p>
    <w:p w14:paraId="748A9BE4" w14:textId="506E3EA7" w:rsidR="00433AEE" w:rsidRPr="00433AEE" w:rsidRDefault="00433AEE" w:rsidP="00433AEE">
      <w:r w:rsidRPr="00433AEE">
        <w:t>In Uganda, grantees immersed in a creative storytelling session using songs and other art forms to paint a picture of a diverse and united national movement. In Indonesia, grantees dialogued on finding expertise within the disability movement on the intersection of climate justice, psychosocial health, livelihoods, and more.</w:t>
      </w:r>
    </w:p>
    <w:p w14:paraId="450D78BF" w14:textId="6603DD8A" w:rsidR="00433AEE" w:rsidRDefault="00433AEE" w:rsidP="00433AEE">
      <w:r w:rsidRPr="00433AEE">
        <w:t xml:space="preserve">DRF also resourced the first Asia-Pacific convening of Indigenous women and girls with disabilities in Kathmandu. From Pakistan to Fiji, Indigenous women and girls with disabilities dialogued on deepening collaboration to create a regional network and thrive together as movements. DRF also supported a peer learning exchange between </w:t>
      </w:r>
      <w:proofErr w:type="spellStart"/>
      <w:r w:rsidRPr="00433AEE">
        <w:t>DeafBlind</w:t>
      </w:r>
      <w:proofErr w:type="spellEnd"/>
      <w:r w:rsidRPr="00433AEE">
        <w:t xml:space="preserve"> Indonesia and the Samoa Blind Persons Association, where </w:t>
      </w:r>
      <w:proofErr w:type="spellStart"/>
      <w:r w:rsidRPr="00433AEE">
        <w:t>DeafBlind</w:t>
      </w:r>
      <w:proofErr w:type="spellEnd"/>
      <w:r w:rsidRPr="00433AEE">
        <w:t xml:space="preserve"> Indonesia shared their innovative outreach strategies for engaging and organizing the </w:t>
      </w:r>
      <w:proofErr w:type="spellStart"/>
      <w:r w:rsidRPr="00433AEE">
        <w:t>DeafBlind</w:t>
      </w:r>
      <w:proofErr w:type="spellEnd"/>
      <w:r w:rsidRPr="00433AEE">
        <w:t xml:space="preserve"> community.</w:t>
      </w:r>
    </w:p>
    <w:p w14:paraId="5A3BD792" w14:textId="427D66C1" w:rsidR="00433AEE" w:rsidRPr="00433AEE" w:rsidRDefault="00433AEE" w:rsidP="00433AEE">
      <w:r>
        <w:lastRenderedPageBreak/>
        <w:t>“</w:t>
      </w:r>
      <w:r w:rsidRPr="00433AEE">
        <w:t xml:space="preserve">Peer and collective learning </w:t>
      </w:r>
      <w:proofErr w:type="gramStart"/>
      <w:r w:rsidRPr="00433AEE">
        <w:t>is</w:t>
      </w:r>
      <w:proofErr w:type="gramEnd"/>
      <w:r w:rsidRPr="00433AEE">
        <w:t xml:space="preserve"> a foundational value of the Disability Rights Fund. We recognize the solutionary expertise that is embedded within disability rights movements and opportunities for cross-learning among movements and philanthropy"</w:t>
      </w:r>
      <w:r>
        <w:t xml:space="preserve"> -</w:t>
      </w:r>
      <w:r w:rsidRPr="00433AEE">
        <w:t xml:space="preserve"> Dwi Ariyani</w:t>
      </w:r>
    </w:p>
    <w:p w14:paraId="4E209098" w14:textId="77777777" w:rsidR="00361966" w:rsidRDefault="00361966" w:rsidP="00361966">
      <w:pPr>
        <w:pStyle w:val="Heading2"/>
      </w:pPr>
      <w:r w:rsidRPr="004E7342">
        <w:t>Opening spaces to advocate for disability inclusion and participation</w:t>
      </w:r>
    </w:p>
    <w:p w14:paraId="1E1D3B2B" w14:textId="18101436" w:rsidR="00433AEE" w:rsidRPr="00433AEE" w:rsidRDefault="00433AEE" w:rsidP="00433AEE">
      <w:r w:rsidRPr="00433AEE">
        <w:t>Our advocacy and partnerships shine a light on under-explored issues and help bridge systemic gaps by fostering collaboration across human rights movements. The third pillar of the strategic plan is grounded in intersectionality, strengthening solidarity and supporting the growth of a vibrant, inclusive disability rights movement.</w:t>
      </w:r>
    </w:p>
    <w:p w14:paraId="62739299" w14:textId="77777777" w:rsidR="00433AEE" w:rsidRPr="00433AEE" w:rsidRDefault="00433AEE" w:rsidP="00433AEE">
      <w:pPr>
        <w:pStyle w:val="ListParagraph"/>
        <w:numPr>
          <w:ilvl w:val="0"/>
          <w:numId w:val="9"/>
        </w:numPr>
      </w:pPr>
      <w:r w:rsidRPr="00433AEE">
        <w:t>In May 2024, DRF and partners organized the first Wilton Park retreat on disability, titled ‘Disability Rights: Advancing the Agenda’. The multi-stakeholder dialogue brought together around 60 participants from governments, OPDs, civil society, the UN system, and private donors to reflect and strategize on advancing disability inclusion through a human rights lens.</w:t>
      </w:r>
    </w:p>
    <w:p w14:paraId="06CBD758" w14:textId="00850A46" w:rsidR="00433AEE" w:rsidRPr="00433AEE" w:rsidRDefault="00433AEE" w:rsidP="00433AEE">
      <w:pPr>
        <w:pStyle w:val="ListParagraph"/>
        <w:numPr>
          <w:ilvl w:val="0"/>
          <w:numId w:val="9"/>
        </w:numPr>
      </w:pPr>
      <w:r w:rsidRPr="00433AEE">
        <w:t xml:space="preserve">We supported a delegation of feminist disability rights activists to share their stories on rights-based care systems at the 68th Commission on the Status of Women. </w:t>
      </w:r>
    </w:p>
    <w:p w14:paraId="551103B0" w14:textId="77777777" w:rsidR="00433AEE" w:rsidRPr="00433AEE" w:rsidRDefault="00433AEE" w:rsidP="00433AEE">
      <w:pPr>
        <w:pStyle w:val="ListParagraph"/>
        <w:numPr>
          <w:ilvl w:val="0"/>
          <w:numId w:val="9"/>
        </w:numPr>
      </w:pPr>
      <w:r w:rsidRPr="00433AEE">
        <w:t>DRF partnered with feminist grantees and allies at the Association of Women’s Rights in Development Forum to strategize on advancing an inclusive care agenda and to share Indigenous advocacy approaches for climate justice.</w:t>
      </w:r>
    </w:p>
    <w:p w14:paraId="08C76409" w14:textId="77777777" w:rsidR="00433AEE" w:rsidRPr="00433AEE" w:rsidRDefault="00433AEE" w:rsidP="00433AEE">
      <w:pPr>
        <w:pStyle w:val="ListParagraph"/>
        <w:numPr>
          <w:ilvl w:val="0"/>
          <w:numId w:val="9"/>
        </w:numPr>
      </w:pPr>
      <w:r w:rsidRPr="00433AEE">
        <w:t xml:space="preserve">In 2024, we partnered with Instituto </w:t>
      </w:r>
      <w:proofErr w:type="spellStart"/>
      <w:r w:rsidRPr="00433AEE">
        <w:t>Jô</w:t>
      </w:r>
      <w:proofErr w:type="spellEnd"/>
      <w:r w:rsidRPr="00433AEE">
        <w:t xml:space="preserve"> Clemente (IJC) to support a historic gathering of disability activists at Disability 20 (D20), a vibrant and transformative initiative aimed at engaging persons with disabilities and bringing their intersectional perspectives at the G20 (Group of 20) gathering in Rio de Janeiro, Brazil, last November.</w:t>
      </w:r>
    </w:p>
    <w:p w14:paraId="645572BA" w14:textId="5838363B" w:rsidR="00433AEE" w:rsidRDefault="00433AEE" w:rsidP="00433AEE">
      <w:pPr>
        <w:pStyle w:val="ListParagraph"/>
        <w:numPr>
          <w:ilvl w:val="0"/>
          <w:numId w:val="9"/>
        </w:numPr>
      </w:pPr>
      <w:r w:rsidRPr="00433AEE">
        <w:t>Our colleagues and grantees joined allies in Baku, Azerbaijan for COP29, to advocate for the recognition of persons with disabilities as a formal constituency within the UN Climate Change Conference.</w:t>
      </w:r>
    </w:p>
    <w:p w14:paraId="7A8006B6" w14:textId="3F2027F6" w:rsidR="00433AEE" w:rsidRPr="00433AEE" w:rsidRDefault="00433AEE" w:rsidP="00433AEE">
      <w:r w:rsidRPr="00433AEE">
        <w:t xml:space="preserve">“The greatest triumph of the D20 was showing the world the power and expertise of people with disabilities. In addition to facing daily challenges imposed by exclusionary societies, they are specialists in numerous areas, bringing irreplaceable contributions to any debate on relevant topics, ranging from food systems to philanthropy and sustainable development.” </w:t>
      </w:r>
      <w:r>
        <w:t xml:space="preserve">- </w:t>
      </w:r>
      <w:r w:rsidRPr="00433AEE">
        <w:t xml:space="preserve">Instituto </w:t>
      </w:r>
      <w:proofErr w:type="spellStart"/>
      <w:r w:rsidRPr="00433AEE">
        <w:t>Jô</w:t>
      </w:r>
      <w:proofErr w:type="spellEnd"/>
      <w:r w:rsidRPr="00433AEE">
        <w:t xml:space="preserve"> Clemente members </w:t>
      </w:r>
    </w:p>
    <w:p w14:paraId="0C08BFD7" w14:textId="77777777" w:rsidR="00433AEE" w:rsidRPr="00433AEE" w:rsidRDefault="00433AEE" w:rsidP="00433AEE">
      <w:r w:rsidRPr="00433AEE">
        <w:t xml:space="preserve">Donor advocacy is an important priority for DRF to influence philanthropy to move more and better funding for disability movements. DRF's participatory grantmaking </w:t>
      </w:r>
      <w:r w:rsidRPr="00433AEE">
        <w:lastRenderedPageBreak/>
        <w:t>evolution and learning was featured in a chapter by staff in ‘Participatory Grantmaking in Philanthropy: How Democratizing Decision-Making Shifts Power to Communities’ published in December 2024 by the Georgetown University Press.</w:t>
      </w:r>
    </w:p>
    <w:p w14:paraId="34D02226" w14:textId="77777777" w:rsidR="00433AEE" w:rsidRPr="00433AEE" w:rsidRDefault="00433AEE" w:rsidP="00433AEE">
      <w:pPr>
        <w:pStyle w:val="Heading2"/>
      </w:pPr>
      <w:r w:rsidRPr="00433AEE">
        <w:t xml:space="preserve">Nothing Without Youth! </w:t>
      </w:r>
    </w:p>
    <w:p w14:paraId="337C472F" w14:textId="77777777" w:rsidR="00433AEE" w:rsidRPr="00433AEE" w:rsidRDefault="00433AEE" w:rsidP="00433AEE">
      <w:r w:rsidRPr="00433AEE">
        <w:t>One of DRF’s cross-cutting priorities in our strategic plan is resourcing the intersectional and dynamic leadership of youth with disabilities. From Malawi to Indonesia to Fiji, young leaders with disabilities are asserting their right to decision-making powers on critical issues—from climate justice to inclusive education.</w:t>
      </w:r>
    </w:p>
    <w:p w14:paraId="41C3B409" w14:textId="77777777" w:rsidR="00433AEE" w:rsidRPr="00433AEE" w:rsidRDefault="00433AEE" w:rsidP="00433AEE">
      <w:r w:rsidRPr="00433AEE">
        <w:t xml:space="preserve">In Indonesia, Alice Tandri, a young </w:t>
      </w:r>
      <w:proofErr w:type="spellStart"/>
      <w:r w:rsidRPr="00433AEE">
        <w:t>DeafBlind</w:t>
      </w:r>
      <w:proofErr w:type="spellEnd"/>
      <w:r w:rsidRPr="00433AEE">
        <w:t xml:space="preserve"> activist with PELITA, is championing inclusive care and support systems. Alice joined the Asia-Pacific Care Forum in Thailand, where she advocated for transforming models of care to center the rights of women and girls with disabilities. In Fiji, the Disability Pride Hub—the first LGBTQI-led OPD in the Pacific—centers the lived experience and solutions of queer youth with disabilities. In Malawi, Duster Lucius with </w:t>
      </w:r>
      <w:proofErr w:type="spellStart"/>
      <w:r w:rsidRPr="00433AEE">
        <w:t>DeafBlind</w:t>
      </w:r>
      <w:proofErr w:type="spellEnd"/>
      <w:r w:rsidRPr="00433AEE">
        <w:t xml:space="preserve"> Malawi is working to expand early childhood education services for children with </w:t>
      </w:r>
      <w:proofErr w:type="spellStart"/>
      <w:r w:rsidRPr="00433AEE">
        <w:t>DeafBlindness</w:t>
      </w:r>
      <w:proofErr w:type="spellEnd"/>
      <w:r w:rsidRPr="00433AEE">
        <w:t>. And in Uganda, youth activists with Show Abilities Uganda are powering a growing movement for inclusive democracy and political participation.</w:t>
      </w:r>
    </w:p>
    <w:p w14:paraId="1C415C90" w14:textId="0BDE8E92" w:rsidR="00433AEE" w:rsidRPr="00433AEE" w:rsidRDefault="00433AEE" w:rsidP="00433AEE">
      <w:r w:rsidRPr="00433AEE">
        <w:t>Across movements and borders, youth with disabilities are not waiting to be included—they are leading the way.</w:t>
      </w:r>
    </w:p>
    <w:p w14:paraId="449405BD" w14:textId="753C0B97" w:rsidR="00433AEE" w:rsidRDefault="00433AEE" w:rsidP="00433AEE">
      <w:r>
        <w:t>“</w:t>
      </w:r>
      <w:r w:rsidRPr="00433AEE">
        <w:t xml:space="preserve">Who better to make these decisions than young people who are facing these challenges day-by-day. When young people lead, resources go to where it is impactful and needed." </w:t>
      </w:r>
      <w:r>
        <w:t xml:space="preserve">- </w:t>
      </w:r>
      <w:r w:rsidRPr="00433AEE">
        <w:t>Rebeca Jawara, a youth activist.</w:t>
      </w:r>
    </w:p>
    <w:p w14:paraId="768385B9" w14:textId="77777777" w:rsidR="00433AEE" w:rsidRPr="00433AEE" w:rsidRDefault="00433AEE" w:rsidP="00433AEE">
      <w:pPr>
        <w:pStyle w:val="Heading3"/>
      </w:pPr>
      <w:r w:rsidRPr="00433AEE">
        <w:t xml:space="preserve">Youth Transforming Philanthropy </w:t>
      </w:r>
    </w:p>
    <w:p w14:paraId="2EAE0744" w14:textId="77777777" w:rsidR="00433AEE" w:rsidRPr="00433AEE" w:rsidRDefault="00433AEE" w:rsidP="00433AEE">
      <w:r w:rsidRPr="00433AEE">
        <w:t xml:space="preserve">What would the world look like if the agency and visionary leadership of youth were centered in philanthropy? DRF is proud of our strategic partnership with the Children’s Rights Innovation Fund, an innovative participatory grantmaking pooled fund to make children’s rights a lived reality. Through youth-led strategies and decision-making, CRIF is shifting power and driving systemic change by placing youth in the heart of philanthropic practices. DRF’s funding supports CRIF to advance youth rights with a disability lens. </w:t>
      </w:r>
    </w:p>
    <w:p w14:paraId="2031765C" w14:textId="77777777" w:rsidR="00433AEE" w:rsidRPr="00433AEE" w:rsidRDefault="00433AEE" w:rsidP="00433AEE">
      <w:pPr>
        <w:pStyle w:val="Heading2"/>
      </w:pPr>
      <w:r w:rsidRPr="00433AEE">
        <w:lastRenderedPageBreak/>
        <w:t>Our Impact</w:t>
      </w:r>
    </w:p>
    <w:p w14:paraId="4A41C8B4" w14:textId="77777777" w:rsidR="00433AEE" w:rsidRPr="00433AEE" w:rsidRDefault="00433AEE" w:rsidP="00433AEE">
      <w:r w:rsidRPr="00433AEE">
        <w:t xml:space="preserve">These significant achievements accomplished by persons with disabilities are built upon strong foundations that are rooted in communities.  </w:t>
      </w:r>
    </w:p>
    <w:p w14:paraId="54678677" w14:textId="58BD8BB6" w:rsidR="00433AEE" w:rsidRDefault="00433AEE" w:rsidP="00433AEE">
      <w:r w:rsidRPr="00433AEE">
        <w:t>After years of sustained support from DRF, our partners achieved significant milestones in 2024. Here’s how their efforts have advanced disability rights since 2008:</w:t>
      </w:r>
    </w:p>
    <w:p w14:paraId="0ADE27E3" w14:textId="6273C261" w:rsidR="00433AEE" w:rsidRPr="00433AEE" w:rsidRDefault="00433AEE" w:rsidP="00433AEE">
      <w:pPr>
        <w:pStyle w:val="ListParagraph"/>
        <w:numPr>
          <w:ilvl w:val="0"/>
          <w:numId w:val="10"/>
        </w:numPr>
      </w:pPr>
      <w:r w:rsidRPr="00433AEE">
        <w:t xml:space="preserve">5,000 activists participated in peer and collective learning gatherings </w:t>
      </w:r>
    </w:p>
    <w:p w14:paraId="11624882" w14:textId="2B271E8E" w:rsidR="00433AEE" w:rsidRPr="00433AEE" w:rsidRDefault="00433AEE" w:rsidP="00433AEE">
      <w:pPr>
        <w:pStyle w:val="ListParagraph"/>
        <w:numPr>
          <w:ilvl w:val="0"/>
          <w:numId w:val="10"/>
        </w:numPr>
      </w:pPr>
      <w:r w:rsidRPr="00433AEE">
        <w:t>Nearly</w:t>
      </w:r>
      <w:r>
        <w:t xml:space="preserve"> </w:t>
      </w:r>
      <w:r w:rsidRPr="00433AEE">
        <w:t>200</w:t>
      </w:r>
      <w:r>
        <w:t xml:space="preserve"> </w:t>
      </w:r>
      <w:r w:rsidRPr="00433AEE">
        <w:t xml:space="preserve">national laws, policies and government programs were enacted or created by the leadership of persons with disabilities </w:t>
      </w:r>
    </w:p>
    <w:p w14:paraId="28E8359C" w14:textId="4DCACF33" w:rsidR="00433AEE" w:rsidRPr="00433AEE" w:rsidRDefault="00433AEE" w:rsidP="00433AEE">
      <w:pPr>
        <w:pStyle w:val="ListParagraph"/>
        <w:numPr>
          <w:ilvl w:val="0"/>
          <w:numId w:val="10"/>
        </w:numPr>
      </w:pPr>
      <w:r w:rsidRPr="00433AEE">
        <w:t>More than 100</w:t>
      </w:r>
      <w:r>
        <w:t xml:space="preserve"> </w:t>
      </w:r>
      <w:r w:rsidRPr="00433AEE">
        <w:t xml:space="preserve">reports monitoring progress on human rights and development agendas submitted to the United Nations and other multilateral agencies.  </w:t>
      </w:r>
    </w:p>
    <w:p w14:paraId="06995A63" w14:textId="0E2FD7E5" w:rsidR="00433AEE" w:rsidRPr="00433AEE" w:rsidRDefault="00433AEE" w:rsidP="00433AEE">
      <w:r w:rsidRPr="00433AEE">
        <w:t xml:space="preserve">Numbers are only a small part of a greater story of growth and cross-movement expansion. Organizations of persons with disabilities are growing and focused on creating real impact and change. </w:t>
      </w:r>
    </w:p>
    <w:p w14:paraId="525802AA" w14:textId="77777777" w:rsidR="00361966" w:rsidRDefault="00361966" w:rsidP="00361966">
      <w:pPr>
        <w:pStyle w:val="Heading2"/>
      </w:pPr>
      <w:r w:rsidRPr="004E7342">
        <w:t>Strengthening DRF for sustainable and values-centric growth</w:t>
      </w:r>
    </w:p>
    <w:p w14:paraId="2DECB207" w14:textId="77777777" w:rsidR="00BC0734" w:rsidRPr="00BC0734" w:rsidRDefault="00BC0734" w:rsidP="00BC0734">
      <w:r w:rsidRPr="00BC0734">
        <w:t xml:space="preserve">The fourth pillar of our strategic plan strengthens DRF to ensure sustainable and values-centric growth. </w:t>
      </w:r>
    </w:p>
    <w:p w14:paraId="6C768AC3" w14:textId="77777777" w:rsidR="00BC0734" w:rsidRPr="00BC0734" w:rsidRDefault="00BC0734" w:rsidP="00BC0734">
      <w:r w:rsidRPr="00BC0734">
        <w:t xml:space="preserve">In 2024, we benefitted from the fresh perspective of our interim executive director, who guided cross-functional development and enhancement of our internal processes and infrastructure.  We updated key policies to better reflect our values and provide greater clarity for staff. For example, updates to our Reasonable Accommodation Policy provide staff with more examples of types of accommodations they might request and several options for how to submit a reasonable accommodations request. We invested in new technology systems, including a new financial management platform and document storage system, that are strengthening collaboration within and across teams. We revised our learning system with grantee input to better understand how DRF supports collective power. </w:t>
      </w:r>
    </w:p>
    <w:p w14:paraId="01D734E7" w14:textId="765F639A" w:rsidR="00BC0734" w:rsidRDefault="00BC0734" w:rsidP="00BC0734">
      <w:r w:rsidRPr="00BC0734">
        <w:t xml:space="preserve">In addition to process and infrastructure improvements, we also grew our collective understanding and interpretation of our values and ways of working across our staff team. With staff coming from a diversity of identities, lived experiences, and perspectives to their work, listening to and learning from each other is critical to strengthening our work. At a July retreat, staff shared reflections about words like “participation”, “trust-based philanthropy”, and “inclusion” that built new layers of understanding and alignment across </w:t>
      </w:r>
      <w:proofErr w:type="gramStart"/>
      <w:r w:rsidRPr="00BC0734">
        <w:t>all of</w:t>
      </w:r>
      <w:proofErr w:type="gramEnd"/>
      <w:r w:rsidRPr="00BC0734">
        <w:t xml:space="preserve"> our work.</w:t>
      </w:r>
    </w:p>
    <w:p w14:paraId="598E4668" w14:textId="4FFE35DB" w:rsidR="00BC0734" w:rsidRDefault="00BC0734" w:rsidP="00BC0734">
      <w:pPr>
        <w:pStyle w:val="Heading2"/>
        <w:rPr>
          <w:b w:val="0"/>
          <w:bCs/>
        </w:rPr>
      </w:pPr>
      <w:r w:rsidRPr="00BC0734">
        <w:lastRenderedPageBreak/>
        <w:t xml:space="preserve">Shifting the Power for </w:t>
      </w:r>
      <w:r w:rsidRPr="00FE6A62">
        <w:t>Inclusion: Grantee Perspectives on DRF</w:t>
      </w:r>
    </w:p>
    <w:p w14:paraId="4732C938" w14:textId="24047D15" w:rsidR="00BC0734" w:rsidRDefault="00BC0734" w:rsidP="00BC0734">
      <w:r w:rsidRPr="00BC0734">
        <w:t xml:space="preserve">"Our partnership with the Disability Rights Fund has been amazing. We worked on a project on early childhood development services (ECD) in Malawi for children with </w:t>
      </w:r>
      <w:proofErr w:type="spellStart"/>
      <w:r w:rsidRPr="00BC0734">
        <w:t>DeafBlindness</w:t>
      </w:r>
      <w:proofErr w:type="spellEnd"/>
      <w:r w:rsidRPr="00BC0734">
        <w:t xml:space="preserve">. We learned that most children do not have access to ECD services. At the end of the project, we saw an increase in the number </w:t>
      </w:r>
      <w:proofErr w:type="gramStart"/>
      <w:r w:rsidRPr="00BC0734">
        <w:t>of  learners</w:t>
      </w:r>
      <w:proofErr w:type="gramEnd"/>
      <w:r w:rsidRPr="00BC0734">
        <w:t xml:space="preserve"> with </w:t>
      </w:r>
      <w:proofErr w:type="spellStart"/>
      <w:r w:rsidRPr="00BC0734">
        <w:t>DeafBlindness</w:t>
      </w:r>
      <w:proofErr w:type="spellEnd"/>
      <w:r w:rsidRPr="00BC0734">
        <w:t xml:space="preserve"> admitted to ECD centers, and some have graduated to primary school.</w:t>
      </w:r>
      <w:r>
        <w:t xml:space="preserve">” - </w:t>
      </w:r>
      <w:r w:rsidRPr="00BC0734">
        <w:t xml:space="preserve">Duster Lucius, </w:t>
      </w:r>
      <w:proofErr w:type="spellStart"/>
      <w:r w:rsidRPr="00BC0734">
        <w:t>DeafBlind</w:t>
      </w:r>
      <w:proofErr w:type="spellEnd"/>
      <w:r w:rsidRPr="00BC0734">
        <w:t xml:space="preserve"> Malawi</w:t>
      </w:r>
    </w:p>
    <w:p w14:paraId="2A52985F" w14:textId="56DEFA2F" w:rsidR="00BC0734" w:rsidRDefault="00BC0734" w:rsidP="00BC0734">
      <w:r w:rsidRPr="00BC0734">
        <w:t>“DRF’s continued partnership with us over the years in disability rights advocacy is a demonstration of your belief in our work, which is a source of inspiration, motivation, and pride. Thank you for supporting our efforts towards sustaining national advocacy on disability inclusion in the implementation, monitoring, and reporting of the Convention on the Rights of Persons with Disabilities.”</w:t>
      </w:r>
      <w:r>
        <w:t xml:space="preserve"> - </w:t>
      </w:r>
      <w:r w:rsidRPr="00BC0734">
        <w:t xml:space="preserve">Esther </w:t>
      </w:r>
      <w:proofErr w:type="spellStart"/>
      <w:r w:rsidRPr="00BC0734">
        <w:t>Kyoriza</w:t>
      </w:r>
      <w:proofErr w:type="spellEnd"/>
      <w:r w:rsidRPr="00BC0734">
        <w:t>, Chief Executive Officer, National Union of Disabled Persons of Uganda</w:t>
      </w:r>
    </w:p>
    <w:p w14:paraId="4133462B" w14:textId="7B34747D" w:rsidR="00BC0734" w:rsidRDefault="00BC0734" w:rsidP="00BC0734">
      <w:pPr>
        <w:pStyle w:val="Heading2"/>
      </w:pPr>
      <w:r w:rsidRPr="00BC0734">
        <w:t xml:space="preserve">Shifting the Power for Inclusion: Donor Perspectives on </w:t>
      </w:r>
      <w:r>
        <w:t>DRF</w:t>
      </w:r>
    </w:p>
    <w:p w14:paraId="4E283DD4" w14:textId="5696E88F" w:rsidR="00BC0734" w:rsidRPr="00BC0734" w:rsidRDefault="00BC0734" w:rsidP="00BC0734">
      <w:r w:rsidRPr="00BC0734">
        <w:t>"At The Schmidt Family Foundation, we believe in inclusion and human rights for all.  We proudly support the Disability Rights Fund (DRF) for their strategic investment in persons with disabilities to advocate for equal rights, full participation in society, and a level playing field.  We firmly stand with DRF as they strengthen the vitality of the global disability rights movement.”</w:t>
      </w:r>
      <w:r>
        <w:t xml:space="preserve"> - </w:t>
      </w:r>
      <w:r w:rsidRPr="00BC0734">
        <w:t>Christopher Nichols, Senior Project Manager, The Schmidt Family Foundation</w:t>
      </w:r>
    </w:p>
    <w:p w14:paraId="5F5A3821" w14:textId="32A75F17" w:rsidR="00BC0734" w:rsidRDefault="00BC0734" w:rsidP="00DE76EB">
      <w:r w:rsidRPr="00BC0734">
        <w:t xml:space="preserve">"The collaboration between BMZ and </w:t>
      </w:r>
      <w:r w:rsidRPr="00DE76EB">
        <w:t xml:space="preserve">the </w:t>
      </w:r>
      <w:r w:rsidR="00DE76EB" w:rsidRPr="00DE76EB">
        <w:t xml:space="preserve">Disability Rights Advocacy Fund </w:t>
      </w:r>
      <w:r w:rsidRPr="00DE76EB">
        <w:t>(DRAF) in the context of the Global Disability Summit</w:t>
      </w:r>
      <w:r w:rsidRPr="00BC0734">
        <w:t xml:space="preserve"> 2025 has played a vital role in ensuring the meaningful participation of activists with disabilities and highly marginalized groups throughout the Summit preparation process and at the event itself. Drawing on its previous experience with GDS and its strong networks with grassroots organizations worldwide, DRAF contributed significantly to the diversity and representation at GDS2025 — for example, by enabling activists to advocate for national GDS commitments and by bringing their voices into panel discussions during the Summit.” </w:t>
      </w:r>
      <w:r>
        <w:t xml:space="preserve">- </w:t>
      </w:r>
      <w:r w:rsidRPr="00BC0734">
        <w:t>Hans-Peter Baur, GDS Commissioner, German Federal Ministry for Economic Cooperation and Development (BMZ)</w:t>
      </w:r>
    </w:p>
    <w:p w14:paraId="19CF203F" w14:textId="77777777" w:rsidR="00AC7DEB" w:rsidRDefault="00AC7DEB" w:rsidP="00AC7DEB">
      <w:pPr>
        <w:pStyle w:val="Heading2"/>
      </w:pPr>
      <w:r w:rsidRPr="00AC7DEB">
        <w:t>Gratitude</w:t>
      </w:r>
    </w:p>
    <w:p w14:paraId="61FCC435" w14:textId="77777777" w:rsidR="00AC7DEB" w:rsidRDefault="00AC7DEB" w:rsidP="00AC7DEB">
      <w:r w:rsidRPr="00AC7DEB">
        <w:t>We are deeply grateful for the generosity of our donors for resourcing grassroots movements for inclusion and our organizations.</w:t>
      </w:r>
    </w:p>
    <w:p w14:paraId="4F82F87D" w14:textId="0E050715" w:rsidR="00AC7DEB" w:rsidRPr="00AC7DEB" w:rsidRDefault="00AC7DEB" w:rsidP="00AC7DEB">
      <w:r w:rsidRPr="00AC7DEB">
        <w:lastRenderedPageBreak/>
        <w:t>DRF was supported by United States Department of State’s Bureau of Democracy, Human Rights, and Labor (DRL)</w:t>
      </w:r>
      <w:r>
        <w:rPr>
          <w:rStyle w:val="FootnoteReference"/>
        </w:rPr>
        <w:footnoteReference w:id="1"/>
      </w:r>
      <w:r w:rsidRPr="00AC7DEB">
        <w:t xml:space="preserve">; U.K. Government's Foreign, Commonwealth and Development Office; Adobe Foundation; the Ansara Family Fund at the Boston Foundation; Channel Foundation; </w:t>
      </w:r>
      <w:proofErr w:type="spellStart"/>
      <w:r w:rsidRPr="00AC7DEB">
        <w:t>Dreilinden</w:t>
      </w:r>
      <w:proofErr w:type="spellEnd"/>
      <w:r w:rsidRPr="00AC7DEB">
        <w:t>; Expedia Group; the Jacob &amp; Hilda Blaustein Foundation; Foundation Chanel; Ford Foundation; Foundation for a Just Society; the Global Fund for Women; Joseph P. Kennedy, Jr. Foundation; Mina Fund; Oak Foundation; Schmidt Family Foundation; WE Trust; and Wellspring Philanthropic Fund.</w:t>
      </w:r>
    </w:p>
    <w:p w14:paraId="6E83C107" w14:textId="77777777" w:rsidR="00AC7DEB" w:rsidRPr="00AC7DEB" w:rsidRDefault="00AC7DEB" w:rsidP="00AC7DEB">
      <w:r w:rsidRPr="00AC7DEB">
        <w:t>We thank our individual donors for funding disability rights and inclusion.</w:t>
      </w:r>
    </w:p>
    <w:p w14:paraId="4F911FC7" w14:textId="77777777" w:rsidR="00AC7DEB" w:rsidRPr="00AC7DEB" w:rsidRDefault="00AC7DEB" w:rsidP="00AC7DEB">
      <w:r w:rsidRPr="00AC7DEB">
        <w:t xml:space="preserve">DRAF was supported by the Government of Australia’s Department of Foreign Affairs and Trade; Government of Germany’s Agency for International Cooperation; and the Robert Bosch Stiftung. </w:t>
      </w:r>
    </w:p>
    <w:p w14:paraId="31B5F6DF" w14:textId="0D7D076A" w:rsidR="00AC7DEB" w:rsidRDefault="00AC7DEB" w:rsidP="00AC7DEB">
      <w:r w:rsidRPr="00AC7DEB">
        <w:t>The views expressed in this communication do not necessarily reflect the official policies of any of our donors or the governments they represent.</w:t>
      </w:r>
    </w:p>
    <w:p w14:paraId="43FBA9F0" w14:textId="72F34F68" w:rsidR="00AC7DEB" w:rsidRDefault="00AC7DEB" w:rsidP="00AC7DEB">
      <w:hyperlink r:id="rId8" w:history="1">
        <w:r w:rsidRPr="00AC7DEB">
          <w:rPr>
            <w:rStyle w:val="Hyperlink"/>
          </w:rPr>
          <w:t>See our current donor list here</w:t>
        </w:r>
      </w:hyperlink>
      <w:r w:rsidRPr="00AC7DEB">
        <w:t>.</w:t>
      </w:r>
    </w:p>
    <w:p w14:paraId="5243B579" w14:textId="627074BF" w:rsidR="00AC7DEB" w:rsidRDefault="00AC7DEB" w:rsidP="00AC7DEB">
      <w:r>
        <w:t>“</w:t>
      </w:r>
      <w:r w:rsidRPr="00AC7DEB">
        <w:t xml:space="preserve">Disability rights intersect with every pressing issue of our time—from climate resilience to healthcare access to economic justice. By supporting our work, you’re helping to build a more equitable future where no one is left behind.” </w:t>
      </w:r>
      <w:r>
        <w:t xml:space="preserve">- </w:t>
      </w:r>
      <w:r w:rsidRPr="00AC7DEB">
        <w:t xml:space="preserve">Jen Bokoff, Director of Development </w:t>
      </w:r>
    </w:p>
    <w:p w14:paraId="06DC17B0" w14:textId="06FE6A66" w:rsidR="00003600" w:rsidRDefault="00003600" w:rsidP="00003600">
      <w:pPr>
        <w:pStyle w:val="Heading2"/>
      </w:pPr>
      <w:r w:rsidRPr="00003600">
        <w:t>Grantmaking Data</w:t>
      </w:r>
    </w:p>
    <w:p w14:paraId="4530B51B" w14:textId="206702FF" w:rsidR="00003600" w:rsidRDefault="00003600" w:rsidP="00003600">
      <w:r w:rsidRPr="00003600">
        <w:t>In 2024, DRF and DRAF awarded 134 grants to 121 organizations = $5,890,200 USD</w:t>
      </w:r>
    </w:p>
    <w:p w14:paraId="06E03BA0" w14:textId="632562AF" w:rsidR="00003600" w:rsidRPr="00003600" w:rsidRDefault="00003600" w:rsidP="00003600">
      <w:pPr>
        <w:pStyle w:val="ListParagraph"/>
        <w:numPr>
          <w:ilvl w:val="0"/>
          <w:numId w:val="11"/>
        </w:numPr>
      </w:pPr>
      <w:r w:rsidRPr="00003600">
        <w:t>Global (United States, Brazil, Switzerland, and United Kingdom) 5 grants = $865,800</w:t>
      </w:r>
    </w:p>
    <w:p w14:paraId="2D8B087C" w14:textId="3D70E36A" w:rsidR="00003600" w:rsidRPr="00003600" w:rsidRDefault="00003600" w:rsidP="00003600">
      <w:pPr>
        <w:pStyle w:val="ListParagraph"/>
        <w:numPr>
          <w:ilvl w:val="0"/>
          <w:numId w:val="11"/>
        </w:numPr>
      </w:pPr>
      <w:r w:rsidRPr="00003600">
        <w:t>Caribbean (Haiti) 10 grants = $301,100</w:t>
      </w:r>
    </w:p>
    <w:p w14:paraId="51018175" w14:textId="600E698C" w:rsidR="00003600" w:rsidRPr="006770F2" w:rsidRDefault="00003600" w:rsidP="00003600">
      <w:pPr>
        <w:pStyle w:val="ListParagraph"/>
        <w:numPr>
          <w:ilvl w:val="0"/>
          <w:numId w:val="11"/>
        </w:numPr>
        <w:rPr>
          <w:lang w:val="es-419"/>
        </w:rPr>
      </w:pPr>
      <w:r w:rsidRPr="00003600">
        <w:rPr>
          <w:lang w:val="es-419"/>
        </w:rPr>
        <w:t>Africa (Ghana, Malawi, Nigeria, Rwanda, South Africa, Uganda)</w:t>
      </w:r>
      <w:r w:rsidRPr="006770F2">
        <w:rPr>
          <w:lang w:val="es-419"/>
        </w:rPr>
        <w:t xml:space="preserve"> </w:t>
      </w:r>
      <w:r w:rsidRPr="00003600">
        <w:rPr>
          <w:lang w:val="es-419"/>
        </w:rPr>
        <w:t>63 grants =</w:t>
      </w:r>
      <w:r w:rsidRPr="006770F2">
        <w:rPr>
          <w:lang w:val="es-419"/>
        </w:rPr>
        <w:t xml:space="preserve"> </w:t>
      </w:r>
      <w:r w:rsidRPr="00003600">
        <w:rPr>
          <w:lang w:val="es-419"/>
        </w:rPr>
        <w:t>$2,756,600</w:t>
      </w:r>
    </w:p>
    <w:p w14:paraId="640C7630" w14:textId="7BA89350" w:rsidR="00003600" w:rsidRPr="00003600" w:rsidRDefault="00003600" w:rsidP="00003600">
      <w:pPr>
        <w:pStyle w:val="ListParagraph"/>
        <w:numPr>
          <w:ilvl w:val="0"/>
          <w:numId w:val="11"/>
        </w:numPr>
      </w:pPr>
      <w:r w:rsidRPr="00003600">
        <w:t>Asia (Indonesia, Nepal) 34 grants = $1,294,500</w:t>
      </w:r>
    </w:p>
    <w:p w14:paraId="61FD120D" w14:textId="493BBC4D" w:rsidR="00003600" w:rsidRPr="00003600" w:rsidRDefault="00003600" w:rsidP="00003600">
      <w:pPr>
        <w:pStyle w:val="ListParagraph"/>
        <w:numPr>
          <w:ilvl w:val="0"/>
          <w:numId w:val="11"/>
        </w:numPr>
        <w:rPr>
          <w:lang w:val="es-419"/>
        </w:rPr>
      </w:pPr>
      <w:r w:rsidRPr="00003600">
        <w:t>Asia (Indonesia, Nepal) 34 grants = $1,294,500</w:t>
      </w:r>
    </w:p>
    <w:p w14:paraId="5F94D611" w14:textId="1C886936" w:rsidR="00003600" w:rsidRPr="00003600" w:rsidRDefault="00003600" w:rsidP="00003600">
      <w:hyperlink r:id="rId9" w:history="1">
        <w:r w:rsidRPr="00003600">
          <w:rPr>
            <w:rStyle w:val="Hyperlink"/>
          </w:rPr>
          <w:t>Click here to view the full grants directory</w:t>
        </w:r>
      </w:hyperlink>
    </w:p>
    <w:p w14:paraId="20C1931D" w14:textId="77777777" w:rsidR="00003600" w:rsidRDefault="00003600" w:rsidP="00003600">
      <w:pPr>
        <w:pStyle w:val="Heading2"/>
      </w:pPr>
      <w:r w:rsidRPr="00003600">
        <w:lastRenderedPageBreak/>
        <w:t>2024 Financials</w:t>
      </w:r>
    </w:p>
    <w:tbl>
      <w:tblPr>
        <w:tblStyle w:val="TableGrid"/>
        <w:tblW w:w="0" w:type="auto"/>
        <w:tblLook w:val="04A0" w:firstRow="1" w:lastRow="0" w:firstColumn="1" w:lastColumn="0" w:noHBand="0" w:noVBand="1"/>
      </w:tblPr>
      <w:tblGrid>
        <w:gridCol w:w="3549"/>
        <w:gridCol w:w="1620"/>
        <w:gridCol w:w="1620"/>
        <w:gridCol w:w="1672"/>
        <w:gridCol w:w="1609"/>
      </w:tblGrid>
      <w:tr w:rsidR="009A4EAA" w14:paraId="3930952B" w14:textId="77777777" w:rsidTr="00565EB9">
        <w:trPr>
          <w:cantSplit/>
          <w:tblHeader/>
        </w:trPr>
        <w:tc>
          <w:tcPr>
            <w:tcW w:w="3581" w:type="dxa"/>
            <w:tcMar>
              <w:top w:w="72" w:type="dxa"/>
              <w:left w:w="115" w:type="dxa"/>
              <w:bottom w:w="72" w:type="dxa"/>
              <w:right w:w="115" w:type="dxa"/>
            </w:tcMar>
          </w:tcPr>
          <w:p w14:paraId="002B069B" w14:textId="77777777" w:rsidR="009A4EAA" w:rsidRPr="009A4EAA" w:rsidRDefault="009A4EAA" w:rsidP="009A4EAA"/>
        </w:tc>
        <w:tc>
          <w:tcPr>
            <w:tcW w:w="1622" w:type="dxa"/>
            <w:tcMar>
              <w:top w:w="72" w:type="dxa"/>
              <w:left w:w="115" w:type="dxa"/>
              <w:bottom w:w="72" w:type="dxa"/>
              <w:right w:w="115" w:type="dxa"/>
            </w:tcMar>
            <w:vAlign w:val="center"/>
          </w:tcPr>
          <w:p w14:paraId="0DA90AB4" w14:textId="269EA7B9" w:rsidR="009A4EAA" w:rsidRPr="009A4EAA" w:rsidRDefault="009A4EAA" w:rsidP="009A4EAA">
            <w:pPr>
              <w:jc w:val="center"/>
              <w:rPr>
                <w:b/>
                <w:bCs/>
              </w:rPr>
            </w:pPr>
            <w:r w:rsidRPr="009A4EAA">
              <w:rPr>
                <w:b/>
                <w:bCs/>
              </w:rPr>
              <w:t>DRF</w:t>
            </w:r>
          </w:p>
        </w:tc>
        <w:tc>
          <w:tcPr>
            <w:tcW w:w="1622" w:type="dxa"/>
            <w:tcMar>
              <w:top w:w="72" w:type="dxa"/>
              <w:left w:w="115" w:type="dxa"/>
              <w:bottom w:w="72" w:type="dxa"/>
              <w:right w:w="115" w:type="dxa"/>
            </w:tcMar>
            <w:vAlign w:val="center"/>
          </w:tcPr>
          <w:p w14:paraId="290C5D2E" w14:textId="2F9528EB" w:rsidR="009A4EAA" w:rsidRPr="009A4EAA" w:rsidRDefault="009A4EAA" w:rsidP="009A4EAA">
            <w:pPr>
              <w:jc w:val="center"/>
              <w:rPr>
                <w:b/>
                <w:bCs/>
              </w:rPr>
            </w:pPr>
            <w:r w:rsidRPr="009A4EAA">
              <w:rPr>
                <w:b/>
                <w:bCs/>
              </w:rPr>
              <w:t>DRAF</w:t>
            </w:r>
          </w:p>
        </w:tc>
        <w:tc>
          <w:tcPr>
            <w:tcW w:w="1622" w:type="dxa"/>
            <w:tcMar>
              <w:top w:w="72" w:type="dxa"/>
              <w:left w:w="115" w:type="dxa"/>
              <w:bottom w:w="72" w:type="dxa"/>
              <w:right w:w="115" w:type="dxa"/>
            </w:tcMar>
            <w:vAlign w:val="center"/>
          </w:tcPr>
          <w:p w14:paraId="5A5F81FC" w14:textId="084F8881" w:rsidR="009A4EAA" w:rsidRPr="009A4EAA" w:rsidRDefault="009A4EAA" w:rsidP="009A4EAA">
            <w:pPr>
              <w:jc w:val="center"/>
              <w:rPr>
                <w:b/>
                <w:bCs/>
              </w:rPr>
            </w:pPr>
            <w:r w:rsidRPr="009A4EAA">
              <w:rPr>
                <w:b/>
                <w:bCs/>
              </w:rPr>
              <w:t>Total</w:t>
            </w:r>
          </w:p>
        </w:tc>
        <w:tc>
          <w:tcPr>
            <w:tcW w:w="1623" w:type="dxa"/>
            <w:tcMar>
              <w:top w:w="72" w:type="dxa"/>
              <w:left w:w="115" w:type="dxa"/>
              <w:bottom w:w="72" w:type="dxa"/>
              <w:right w:w="115" w:type="dxa"/>
            </w:tcMar>
            <w:vAlign w:val="center"/>
          </w:tcPr>
          <w:p w14:paraId="1D0A8F85" w14:textId="6E347B20" w:rsidR="009A4EAA" w:rsidRPr="009A4EAA" w:rsidRDefault="009A4EAA" w:rsidP="009A4EAA">
            <w:pPr>
              <w:jc w:val="center"/>
              <w:rPr>
                <w:b/>
                <w:bCs/>
              </w:rPr>
            </w:pPr>
            <w:r w:rsidRPr="009A4EAA">
              <w:rPr>
                <w:b/>
                <w:bCs/>
              </w:rPr>
              <w:t>%</w:t>
            </w:r>
          </w:p>
        </w:tc>
      </w:tr>
      <w:tr w:rsidR="009A4EAA" w14:paraId="335540D8" w14:textId="77777777" w:rsidTr="009A4EAA">
        <w:tc>
          <w:tcPr>
            <w:tcW w:w="3581" w:type="dxa"/>
            <w:tcMar>
              <w:top w:w="72" w:type="dxa"/>
              <w:left w:w="115" w:type="dxa"/>
              <w:bottom w:w="72" w:type="dxa"/>
              <w:right w:w="115" w:type="dxa"/>
            </w:tcMar>
            <w:vAlign w:val="center"/>
          </w:tcPr>
          <w:p w14:paraId="17D760C6" w14:textId="5A4C29AD" w:rsidR="009A4EAA" w:rsidRPr="009A4EAA" w:rsidRDefault="009A4EAA" w:rsidP="009A4EAA">
            <w:pPr>
              <w:rPr>
                <w:b/>
                <w:bCs/>
              </w:rPr>
            </w:pPr>
            <w:r w:rsidRPr="009A4EAA">
              <w:rPr>
                <w:b/>
                <w:bCs/>
              </w:rPr>
              <w:t>Revenue</w:t>
            </w:r>
          </w:p>
        </w:tc>
        <w:tc>
          <w:tcPr>
            <w:tcW w:w="1622" w:type="dxa"/>
            <w:tcMar>
              <w:top w:w="72" w:type="dxa"/>
              <w:left w:w="115" w:type="dxa"/>
              <w:bottom w:w="72" w:type="dxa"/>
              <w:right w:w="115" w:type="dxa"/>
            </w:tcMar>
          </w:tcPr>
          <w:p w14:paraId="3CA850B7" w14:textId="77777777" w:rsidR="009A4EAA" w:rsidRPr="009A4EAA" w:rsidRDefault="009A4EAA" w:rsidP="009A4EAA">
            <w:pPr>
              <w:jc w:val="right"/>
            </w:pPr>
          </w:p>
        </w:tc>
        <w:tc>
          <w:tcPr>
            <w:tcW w:w="1622" w:type="dxa"/>
            <w:tcMar>
              <w:top w:w="72" w:type="dxa"/>
              <w:left w:w="115" w:type="dxa"/>
              <w:bottom w:w="72" w:type="dxa"/>
              <w:right w:w="115" w:type="dxa"/>
            </w:tcMar>
          </w:tcPr>
          <w:p w14:paraId="202D4C95" w14:textId="77777777" w:rsidR="009A4EAA" w:rsidRPr="009A4EAA" w:rsidRDefault="009A4EAA" w:rsidP="009A4EAA">
            <w:pPr>
              <w:jc w:val="right"/>
            </w:pPr>
          </w:p>
        </w:tc>
        <w:tc>
          <w:tcPr>
            <w:tcW w:w="1622" w:type="dxa"/>
            <w:tcMar>
              <w:top w:w="72" w:type="dxa"/>
              <w:left w:w="115" w:type="dxa"/>
              <w:bottom w:w="72" w:type="dxa"/>
              <w:right w:w="115" w:type="dxa"/>
            </w:tcMar>
          </w:tcPr>
          <w:p w14:paraId="04DFAA47" w14:textId="77777777" w:rsidR="009A4EAA" w:rsidRPr="009A4EAA" w:rsidRDefault="009A4EAA" w:rsidP="009A4EAA">
            <w:pPr>
              <w:jc w:val="right"/>
            </w:pPr>
          </w:p>
        </w:tc>
        <w:tc>
          <w:tcPr>
            <w:tcW w:w="1623" w:type="dxa"/>
            <w:tcMar>
              <w:top w:w="72" w:type="dxa"/>
              <w:left w:w="115" w:type="dxa"/>
              <w:bottom w:w="72" w:type="dxa"/>
              <w:right w:w="115" w:type="dxa"/>
            </w:tcMar>
          </w:tcPr>
          <w:p w14:paraId="13941779" w14:textId="77777777" w:rsidR="009A4EAA" w:rsidRPr="009A4EAA" w:rsidRDefault="009A4EAA" w:rsidP="009A4EAA">
            <w:pPr>
              <w:jc w:val="right"/>
            </w:pPr>
          </w:p>
        </w:tc>
      </w:tr>
      <w:tr w:rsidR="009A4EAA" w14:paraId="4EEA54E9" w14:textId="77777777" w:rsidTr="009A4EAA">
        <w:tc>
          <w:tcPr>
            <w:tcW w:w="3581" w:type="dxa"/>
            <w:tcMar>
              <w:top w:w="72" w:type="dxa"/>
              <w:left w:w="115" w:type="dxa"/>
              <w:bottom w:w="72" w:type="dxa"/>
              <w:right w:w="115" w:type="dxa"/>
            </w:tcMar>
            <w:vAlign w:val="center"/>
          </w:tcPr>
          <w:p w14:paraId="68A567AC" w14:textId="36E7BFB2" w:rsidR="009A4EAA" w:rsidRPr="009A4EAA" w:rsidRDefault="009A4EAA" w:rsidP="009A4EAA">
            <w:r w:rsidRPr="009A4EAA">
              <w:t>Restricted</w:t>
            </w:r>
          </w:p>
        </w:tc>
        <w:tc>
          <w:tcPr>
            <w:tcW w:w="1622" w:type="dxa"/>
            <w:tcMar>
              <w:top w:w="72" w:type="dxa"/>
              <w:left w:w="115" w:type="dxa"/>
              <w:bottom w:w="72" w:type="dxa"/>
              <w:right w:w="115" w:type="dxa"/>
            </w:tcMar>
          </w:tcPr>
          <w:p w14:paraId="2C871D15" w14:textId="77777777" w:rsidR="009A4EAA" w:rsidRPr="009A4EAA" w:rsidRDefault="009A4EAA" w:rsidP="009A4EAA">
            <w:pPr>
              <w:jc w:val="right"/>
            </w:pPr>
          </w:p>
        </w:tc>
        <w:tc>
          <w:tcPr>
            <w:tcW w:w="1622" w:type="dxa"/>
            <w:tcMar>
              <w:top w:w="72" w:type="dxa"/>
              <w:left w:w="115" w:type="dxa"/>
              <w:bottom w:w="72" w:type="dxa"/>
              <w:right w:w="115" w:type="dxa"/>
            </w:tcMar>
          </w:tcPr>
          <w:p w14:paraId="5673822C" w14:textId="77777777" w:rsidR="009A4EAA" w:rsidRPr="009A4EAA" w:rsidRDefault="009A4EAA" w:rsidP="009A4EAA">
            <w:pPr>
              <w:jc w:val="right"/>
            </w:pPr>
          </w:p>
        </w:tc>
        <w:tc>
          <w:tcPr>
            <w:tcW w:w="1622" w:type="dxa"/>
            <w:tcMar>
              <w:top w:w="72" w:type="dxa"/>
              <w:left w:w="115" w:type="dxa"/>
              <w:bottom w:w="72" w:type="dxa"/>
              <w:right w:w="115" w:type="dxa"/>
            </w:tcMar>
          </w:tcPr>
          <w:p w14:paraId="2855C021" w14:textId="77777777" w:rsidR="009A4EAA" w:rsidRPr="009A4EAA" w:rsidRDefault="009A4EAA" w:rsidP="009A4EAA">
            <w:pPr>
              <w:jc w:val="right"/>
            </w:pPr>
          </w:p>
        </w:tc>
        <w:tc>
          <w:tcPr>
            <w:tcW w:w="1623" w:type="dxa"/>
            <w:tcMar>
              <w:top w:w="72" w:type="dxa"/>
              <w:left w:w="115" w:type="dxa"/>
              <w:bottom w:w="72" w:type="dxa"/>
              <w:right w:w="115" w:type="dxa"/>
            </w:tcMar>
          </w:tcPr>
          <w:p w14:paraId="7CB88C46" w14:textId="77777777" w:rsidR="009A4EAA" w:rsidRPr="009A4EAA" w:rsidRDefault="009A4EAA" w:rsidP="009A4EAA">
            <w:pPr>
              <w:jc w:val="right"/>
            </w:pPr>
          </w:p>
        </w:tc>
      </w:tr>
      <w:tr w:rsidR="009A4EAA" w14:paraId="28981F69" w14:textId="77777777" w:rsidTr="009A4EAA">
        <w:tc>
          <w:tcPr>
            <w:tcW w:w="3581" w:type="dxa"/>
            <w:tcMar>
              <w:top w:w="72" w:type="dxa"/>
              <w:left w:w="115" w:type="dxa"/>
              <w:bottom w:w="72" w:type="dxa"/>
              <w:right w:w="115" w:type="dxa"/>
            </w:tcMar>
            <w:vAlign w:val="center"/>
          </w:tcPr>
          <w:p w14:paraId="0EC855AD" w14:textId="73B1CE14" w:rsidR="009A4EAA" w:rsidRPr="009A4EAA" w:rsidRDefault="009A4EAA" w:rsidP="009A4EAA">
            <w:r w:rsidRPr="009A4EAA">
              <w:t>Government</w:t>
            </w:r>
          </w:p>
        </w:tc>
        <w:tc>
          <w:tcPr>
            <w:tcW w:w="1622" w:type="dxa"/>
            <w:tcMar>
              <w:top w:w="72" w:type="dxa"/>
              <w:left w:w="115" w:type="dxa"/>
              <w:bottom w:w="72" w:type="dxa"/>
              <w:right w:w="115" w:type="dxa"/>
            </w:tcMar>
            <w:vAlign w:val="center"/>
          </w:tcPr>
          <w:p w14:paraId="368B77F5" w14:textId="3CD2CA68" w:rsidR="009A4EAA" w:rsidRPr="009A4EAA" w:rsidRDefault="009A4EAA" w:rsidP="009A4EAA">
            <w:pPr>
              <w:jc w:val="right"/>
            </w:pPr>
            <w:r w:rsidRPr="009A4EAA">
              <w:t xml:space="preserve">$3,715,000 </w:t>
            </w:r>
          </w:p>
        </w:tc>
        <w:tc>
          <w:tcPr>
            <w:tcW w:w="1622" w:type="dxa"/>
            <w:tcMar>
              <w:top w:w="72" w:type="dxa"/>
              <w:left w:w="115" w:type="dxa"/>
              <w:bottom w:w="72" w:type="dxa"/>
              <w:right w:w="115" w:type="dxa"/>
            </w:tcMar>
            <w:vAlign w:val="center"/>
          </w:tcPr>
          <w:p w14:paraId="1F85CEFE" w14:textId="2E666D71" w:rsidR="009A4EAA" w:rsidRPr="009A4EAA" w:rsidRDefault="009A4EAA" w:rsidP="009A4EAA">
            <w:pPr>
              <w:jc w:val="right"/>
            </w:pPr>
            <w:r w:rsidRPr="009A4EAA">
              <w:t xml:space="preserve"> $1,451,012 </w:t>
            </w:r>
          </w:p>
        </w:tc>
        <w:tc>
          <w:tcPr>
            <w:tcW w:w="1622" w:type="dxa"/>
            <w:tcMar>
              <w:top w:w="72" w:type="dxa"/>
              <w:left w:w="115" w:type="dxa"/>
              <w:bottom w:w="72" w:type="dxa"/>
              <w:right w:w="115" w:type="dxa"/>
            </w:tcMar>
            <w:vAlign w:val="center"/>
          </w:tcPr>
          <w:p w14:paraId="6B62A9B5" w14:textId="2A814FD5" w:rsidR="009A4EAA" w:rsidRPr="009A4EAA" w:rsidRDefault="009A4EAA" w:rsidP="009A4EAA">
            <w:pPr>
              <w:jc w:val="right"/>
            </w:pPr>
            <w:r w:rsidRPr="009A4EAA">
              <w:t xml:space="preserve"> $5,166,012 </w:t>
            </w:r>
          </w:p>
        </w:tc>
        <w:tc>
          <w:tcPr>
            <w:tcW w:w="1623" w:type="dxa"/>
            <w:tcMar>
              <w:top w:w="72" w:type="dxa"/>
              <w:left w:w="115" w:type="dxa"/>
              <w:bottom w:w="72" w:type="dxa"/>
              <w:right w:w="115" w:type="dxa"/>
            </w:tcMar>
            <w:vAlign w:val="center"/>
          </w:tcPr>
          <w:p w14:paraId="431570E0" w14:textId="3DE078AB" w:rsidR="009A4EAA" w:rsidRPr="009A4EAA" w:rsidRDefault="009A4EAA" w:rsidP="009A4EAA">
            <w:pPr>
              <w:jc w:val="right"/>
            </w:pPr>
            <w:r w:rsidRPr="009A4EAA">
              <w:t>56%</w:t>
            </w:r>
          </w:p>
        </w:tc>
      </w:tr>
      <w:tr w:rsidR="009A4EAA" w14:paraId="23A631C5" w14:textId="77777777" w:rsidTr="009A4EAA">
        <w:tc>
          <w:tcPr>
            <w:tcW w:w="3581" w:type="dxa"/>
            <w:tcMar>
              <w:top w:w="72" w:type="dxa"/>
              <w:left w:w="115" w:type="dxa"/>
              <w:bottom w:w="72" w:type="dxa"/>
              <w:right w:w="115" w:type="dxa"/>
            </w:tcMar>
            <w:vAlign w:val="center"/>
          </w:tcPr>
          <w:p w14:paraId="6EF9D768" w14:textId="073BBADF" w:rsidR="009A4EAA" w:rsidRPr="009A4EAA" w:rsidRDefault="009A4EAA" w:rsidP="009A4EAA">
            <w:r w:rsidRPr="009A4EAA">
              <w:t>Foundations</w:t>
            </w:r>
          </w:p>
        </w:tc>
        <w:tc>
          <w:tcPr>
            <w:tcW w:w="1622" w:type="dxa"/>
            <w:tcMar>
              <w:top w:w="72" w:type="dxa"/>
              <w:left w:w="115" w:type="dxa"/>
              <w:bottom w:w="72" w:type="dxa"/>
              <w:right w:w="115" w:type="dxa"/>
            </w:tcMar>
            <w:vAlign w:val="center"/>
          </w:tcPr>
          <w:p w14:paraId="01C9AFF0" w14:textId="67820D3D" w:rsidR="009A4EAA" w:rsidRPr="009A4EAA" w:rsidRDefault="009A4EAA" w:rsidP="009A4EAA">
            <w:pPr>
              <w:jc w:val="right"/>
            </w:pPr>
            <w:r w:rsidRPr="009A4EAA">
              <w:t xml:space="preserve"> $596,000 </w:t>
            </w:r>
          </w:p>
        </w:tc>
        <w:tc>
          <w:tcPr>
            <w:tcW w:w="1622" w:type="dxa"/>
            <w:tcMar>
              <w:top w:w="72" w:type="dxa"/>
              <w:left w:w="115" w:type="dxa"/>
              <w:bottom w:w="72" w:type="dxa"/>
              <w:right w:w="115" w:type="dxa"/>
            </w:tcMar>
            <w:vAlign w:val="center"/>
          </w:tcPr>
          <w:p w14:paraId="316F471B" w14:textId="77777777" w:rsidR="009A4EAA" w:rsidRPr="009A4EAA" w:rsidRDefault="009A4EAA" w:rsidP="009A4EAA">
            <w:pPr>
              <w:jc w:val="right"/>
            </w:pPr>
          </w:p>
        </w:tc>
        <w:tc>
          <w:tcPr>
            <w:tcW w:w="1622" w:type="dxa"/>
            <w:tcMar>
              <w:top w:w="72" w:type="dxa"/>
              <w:left w:w="115" w:type="dxa"/>
              <w:bottom w:w="72" w:type="dxa"/>
              <w:right w:w="115" w:type="dxa"/>
            </w:tcMar>
            <w:vAlign w:val="center"/>
          </w:tcPr>
          <w:p w14:paraId="1507A424" w14:textId="0342C431" w:rsidR="009A4EAA" w:rsidRPr="009A4EAA" w:rsidRDefault="009A4EAA" w:rsidP="009A4EAA">
            <w:pPr>
              <w:jc w:val="right"/>
            </w:pPr>
            <w:r w:rsidRPr="009A4EAA">
              <w:t xml:space="preserve">$596,000 </w:t>
            </w:r>
          </w:p>
        </w:tc>
        <w:tc>
          <w:tcPr>
            <w:tcW w:w="1623" w:type="dxa"/>
            <w:tcMar>
              <w:top w:w="72" w:type="dxa"/>
              <w:left w:w="115" w:type="dxa"/>
              <w:bottom w:w="72" w:type="dxa"/>
              <w:right w:w="115" w:type="dxa"/>
            </w:tcMar>
            <w:vAlign w:val="center"/>
          </w:tcPr>
          <w:p w14:paraId="6130AE93" w14:textId="336D35E9" w:rsidR="009A4EAA" w:rsidRPr="009A4EAA" w:rsidRDefault="009A4EAA" w:rsidP="009A4EAA">
            <w:pPr>
              <w:jc w:val="right"/>
            </w:pPr>
            <w:r w:rsidRPr="009A4EAA">
              <w:t>6%</w:t>
            </w:r>
          </w:p>
        </w:tc>
      </w:tr>
      <w:tr w:rsidR="009A4EAA" w14:paraId="246237C3" w14:textId="77777777" w:rsidTr="009A4EAA">
        <w:tc>
          <w:tcPr>
            <w:tcW w:w="3581" w:type="dxa"/>
            <w:tcMar>
              <w:top w:w="72" w:type="dxa"/>
              <w:left w:w="115" w:type="dxa"/>
              <w:bottom w:w="72" w:type="dxa"/>
              <w:right w:w="115" w:type="dxa"/>
            </w:tcMar>
            <w:vAlign w:val="center"/>
          </w:tcPr>
          <w:p w14:paraId="39D0096A" w14:textId="197CBC2E" w:rsidR="009A4EAA" w:rsidRPr="009A4EAA" w:rsidRDefault="009A4EAA" w:rsidP="009A4EAA">
            <w:r w:rsidRPr="009A4EAA">
              <w:t>Unrestricted</w:t>
            </w:r>
          </w:p>
        </w:tc>
        <w:tc>
          <w:tcPr>
            <w:tcW w:w="1622" w:type="dxa"/>
            <w:tcMar>
              <w:top w:w="72" w:type="dxa"/>
              <w:left w:w="115" w:type="dxa"/>
              <w:bottom w:w="72" w:type="dxa"/>
              <w:right w:w="115" w:type="dxa"/>
            </w:tcMar>
          </w:tcPr>
          <w:p w14:paraId="7D05FFD8" w14:textId="77777777" w:rsidR="009A4EAA" w:rsidRPr="009A4EAA" w:rsidRDefault="009A4EAA" w:rsidP="009A4EAA">
            <w:pPr>
              <w:jc w:val="right"/>
            </w:pPr>
          </w:p>
        </w:tc>
        <w:tc>
          <w:tcPr>
            <w:tcW w:w="1622" w:type="dxa"/>
            <w:tcMar>
              <w:top w:w="72" w:type="dxa"/>
              <w:left w:w="115" w:type="dxa"/>
              <w:bottom w:w="72" w:type="dxa"/>
              <w:right w:w="115" w:type="dxa"/>
            </w:tcMar>
          </w:tcPr>
          <w:p w14:paraId="6A350797" w14:textId="77777777" w:rsidR="009A4EAA" w:rsidRPr="009A4EAA" w:rsidRDefault="009A4EAA" w:rsidP="009A4EAA">
            <w:pPr>
              <w:jc w:val="right"/>
            </w:pPr>
          </w:p>
        </w:tc>
        <w:tc>
          <w:tcPr>
            <w:tcW w:w="1622" w:type="dxa"/>
            <w:tcMar>
              <w:top w:w="72" w:type="dxa"/>
              <w:left w:w="115" w:type="dxa"/>
              <w:bottom w:w="72" w:type="dxa"/>
              <w:right w:w="115" w:type="dxa"/>
            </w:tcMar>
          </w:tcPr>
          <w:p w14:paraId="0F710B18" w14:textId="77777777" w:rsidR="009A4EAA" w:rsidRPr="009A4EAA" w:rsidRDefault="009A4EAA" w:rsidP="009A4EAA">
            <w:pPr>
              <w:jc w:val="right"/>
            </w:pPr>
          </w:p>
        </w:tc>
        <w:tc>
          <w:tcPr>
            <w:tcW w:w="1623" w:type="dxa"/>
            <w:tcMar>
              <w:top w:w="72" w:type="dxa"/>
              <w:left w:w="115" w:type="dxa"/>
              <w:bottom w:w="72" w:type="dxa"/>
              <w:right w:w="115" w:type="dxa"/>
            </w:tcMar>
          </w:tcPr>
          <w:p w14:paraId="7EC34605" w14:textId="77777777" w:rsidR="009A4EAA" w:rsidRPr="009A4EAA" w:rsidRDefault="009A4EAA" w:rsidP="009A4EAA">
            <w:pPr>
              <w:jc w:val="right"/>
            </w:pPr>
          </w:p>
        </w:tc>
      </w:tr>
      <w:tr w:rsidR="009A4EAA" w14:paraId="67144B9D" w14:textId="77777777" w:rsidTr="009A4EAA">
        <w:tc>
          <w:tcPr>
            <w:tcW w:w="3581" w:type="dxa"/>
            <w:tcMar>
              <w:top w:w="72" w:type="dxa"/>
              <w:left w:w="115" w:type="dxa"/>
              <w:bottom w:w="72" w:type="dxa"/>
              <w:right w:w="115" w:type="dxa"/>
            </w:tcMar>
            <w:vAlign w:val="center"/>
          </w:tcPr>
          <w:p w14:paraId="40EEEE2B" w14:textId="08F148B0" w:rsidR="009A4EAA" w:rsidRPr="009A4EAA" w:rsidRDefault="009A4EAA" w:rsidP="009A4EAA">
            <w:r w:rsidRPr="009A4EAA">
              <w:t>Foundations, Corporations, Individuals</w:t>
            </w:r>
          </w:p>
        </w:tc>
        <w:tc>
          <w:tcPr>
            <w:tcW w:w="1622" w:type="dxa"/>
            <w:tcMar>
              <w:top w:w="72" w:type="dxa"/>
              <w:left w:w="115" w:type="dxa"/>
              <w:bottom w:w="72" w:type="dxa"/>
              <w:right w:w="115" w:type="dxa"/>
            </w:tcMar>
            <w:vAlign w:val="center"/>
          </w:tcPr>
          <w:p w14:paraId="2933B3FA" w14:textId="52A91D38" w:rsidR="009A4EAA" w:rsidRPr="009A4EAA" w:rsidRDefault="009A4EAA" w:rsidP="009A4EAA">
            <w:pPr>
              <w:jc w:val="right"/>
            </w:pPr>
            <w:r w:rsidRPr="009A4EAA">
              <w:t xml:space="preserve">$3,280,782 </w:t>
            </w:r>
          </w:p>
        </w:tc>
        <w:tc>
          <w:tcPr>
            <w:tcW w:w="1622" w:type="dxa"/>
            <w:tcMar>
              <w:top w:w="72" w:type="dxa"/>
              <w:left w:w="115" w:type="dxa"/>
              <w:bottom w:w="72" w:type="dxa"/>
              <w:right w:w="115" w:type="dxa"/>
            </w:tcMar>
            <w:vAlign w:val="center"/>
          </w:tcPr>
          <w:p w14:paraId="3F8C34D1" w14:textId="6DA0C7B7" w:rsidR="009A4EAA" w:rsidRPr="009A4EAA" w:rsidRDefault="009A4EAA" w:rsidP="009A4EAA">
            <w:pPr>
              <w:jc w:val="right"/>
            </w:pPr>
            <w:r w:rsidRPr="009A4EAA">
              <w:t xml:space="preserve"> $222,948 </w:t>
            </w:r>
          </w:p>
        </w:tc>
        <w:tc>
          <w:tcPr>
            <w:tcW w:w="1622" w:type="dxa"/>
            <w:tcMar>
              <w:top w:w="72" w:type="dxa"/>
              <w:left w:w="115" w:type="dxa"/>
              <w:bottom w:w="72" w:type="dxa"/>
              <w:right w:w="115" w:type="dxa"/>
            </w:tcMar>
            <w:vAlign w:val="center"/>
          </w:tcPr>
          <w:p w14:paraId="00D31C35" w14:textId="4C1AA33A" w:rsidR="009A4EAA" w:rsidRPr="009A4EAA" w:rsidRDefault="009A4EAA" w:rsidP="009A4EAA">
            <w:pPr>
              <w:jc w:val="right"/>
            </w:pPr>
            <w:r w:rsidRPr="009A4EAA">
              <w:t xml:space="preserve"> $3,503,730 </w:t>
            </w:r>
          </w:p>
        </w:tc>
        <w:tc>
          <w:tcPr>
            <w:tcW w:w="1623" w:type="dxa"/>
            <w:tcMar>
              <w:top w:w="72" w:type="dxa"/>
              <w:left w:w="115" w:type="dxa"/>
              <w:bottom w:w="72" w:type="dxa"/>
              <w:right w:w="115" w:type="dxa"/>
            </w:tcMar>
            <w:vAlign w:val="center"/>
          </w:tcPr>
          <w:p w14:paraId="3DEDCE68" w14:textId="34F4C9B4" w:rsidR="009A4EAA" w:rsidRPr="009A4EAA" w:rsidRDefault="009A4EAA" w:rsidP="009A4EAA">
            <w:pPr>
              <w:jc w:val="right"/>
            </w:pPr>
            <w:r w:rsidRPr="009A4EAA">
              <w:t>38%</w:t>
            </w:r>
          </w:p>
        </w:tc>
      </w:tr>
      <w:tr w:rsidR="009A4EAA" w14:paraId="64F70A63" w14:textId="77777777" w:rsidTr="00565EB9">
        <w:tc>
          <w:tcPr>
            <w:tcW w:w="3581" w:type="dxa"/>
            <w:shd w:val="clear" w:color="auto" w:fill="D9D9D9" w:themeFill="background1" w:themeFillShade="D9"/>
            <w:tcMar>
              <w:top w:w="72" w:type="dxa"/>
              <w:left w:w="115" w:type="dxa"/>
              <w:bottom w:w="72" w:type="dxa"/>
              <w:right w:w="115" w:type="dxa"/>
            </w:tcMar>
            <w:vAlign w:val="center"/>
          </w:tcPr>
          <w:p w14:paraId="50940DD0" w14:textId="2B7E3E90" w:rsidR="009A4EAA" w:rsidRPr="009A4EAA" w:rsidRDefault="009A4EAA" w:rsidP="009A4EAA">
            <w:pPr>
              <w:rPr>
                <w:b/>
                <w:bCs/>
              </w:rPr>
            </w:pPr>
            <w:r w:rsidRPr="009A4EAA">
              <w:rPr>
                <w:b/>
                <w:bCs/>
              </w:rPr>
              <w:t>Total Revenue</w:t>
            </w:r>
          </w:p>
        </w:tc>
        <w:tc>
          <w:tcPr>
            <w:tcW w:w="1622" w:type="dxa"/>
            <w:shd w:val="clear" w:color="auto" w:fill="D9D9D9" w:themeFill="background1" w:themeFillShade="D9"/>
            <w:tcMar>
              <w:top w:w="72" w:type="dxa"/>
              <w:left w:w="115" w:type="dxa"/>
              <w:bottom w:w="72" w:type="dxa"/>
              <w:right w:w="115" w:type="dxa"/>
            </w:tcMar>
            <w:vAlign w:val="center"/>
          </w:tcPr>
          <w:p w14:paraId="5AE2D614" w14:textId="2ADF46BA" w:rsidR="009A4EAA" w:rsidRPr="009A4EAA" w:rsidRDefault="009A4EAA" w:rsidP="009A4EAA">
            <w:pPr>
              <w:jc w:val="right"/>
              <w:rPr>
                <w:b/>
                <w:bCs/>
              </w:rPr>
            </w:pPr>
            <w:r w:rsidRPr="009A4EAA">
              <w:rPr>
                <w:b/>
                <w:bCs/>
              </w:rPr>
              <w:t xml:space="preserve">$7,591,782 </w:t>
            </w:r>
          </w:p>
        </w:tc>
        <w:tc>
          <w:tcPr>
            <w:tcW w:w="1622" w:type="dxa"/>
            <w:shd w:val="clear" w:color="auto" w:fill="D9D9D9" w:themeFill="background1" w:themeFillShade="D9"/>
            <w:tcMar>
              <w:top w:w="72" w:type="dxa"/>
              <w:left w:w="115" w:type="dxa"/>
              <w:bottom w:w="72" w:type="dxa"/>
              <w:right w:w="115" w:type="dxa"/>
            </w:tcMar>
            <w:vAlign w:val="center"/>
          </w:tcPr>
          <w:p w14:paraId="4B3B9E39" w14:textId="239BD672" w:rsidR="009A4EAA" w:rsidRPr="009A4EAA" w:rsidRDefault="009A4EAA" w:rsidP="009A4EAA">
            <w:pPr>
              <w:jc w:val="right"/>
              <w:rPr>
                <w:b/>
                <w:bCs/>
              </w:rPr>
            </w:pPr>
            <w:r w:rsidRPr="009A4EAA">
              <w:rPr>
                <w:b/>
                <w:bCs/>
              </w:rPr>
              <w:t xml:space="preserve">$1,673,960 </w:t>
            </w:r>
          </w:p>
        </w:tc>
        <w:tc>
          <w:tcPr>
            <w:tcW w:w="1622" w:type="dxa"/>
            <w:shd w:val="clear" w:color="auto" w:fill="D9D9D9" w:themeFill="background1" w:themeFillShade="D9"/>
            <w:tcMar>
              <w:top w:w="72" w:type="dxa"/>
              <w:left w:w="115" w:type="dxa"/>
              <w:bottom w:w="72" w:type="dxa"/>
              <w:right w:w="115" w:type="dxa"/>
            </w:tcMar>
            <w:vAlign w:val="center"/>
          </w:tcPr>
          <w:p w14:paraId="4931CC32" w14:textId="2C7EA23D" w:rsidR="009A4EAA" w:rsidRPr="009A4EAA" w:rsidRDefault="009A4EAA" w:rsidP="009A4EAA">
            <w:pPr>
              <w:jc w:val="right"/>
              <w:rPr>
                <w:b/>
                <w:bCs/>
              </w:rPr>
            </w:pPr>
            <w:r w:rsidRPr="009A4EAA">
              <w:rPr>
                <w:b/>
                <w:bCs/>
              </w:rPr>
              <w:t xml:space="preserve"> $9,265,742 </w:t>
            </w:r>
          </w:p>
        </w:tc>
        <w:tc>
          <w:tcPr>
            <w:tcW w:w="1623" w:type="dxa"/>
            <w:shd w:val="clear" w:color="auto" w:fill="D9D9D9" w:themeFill="background1" w:themeFillShade="D9"/>
            <w:tcMar>
              <w:top w:w="72" w:type="dxa"/>
              <w:left w:w="115" w:type="dxa"/>
              <w:bottom w:w="72" w:type="dxa"/>
              <w:right w:w="115" w:type="dxa"/>
            </w:tcMar>
            <w:vAlign w:val="center"/>
          </w:tcPr>
          <w:p w14:paraId="16736BB0" w14:textId="1122DB4D" w:rsidR="009A4EAA" w:rsidRPr="009A4EAA" w:rsidRDefault="009A4EAA" w:rsidP="009A4EAA">
            <w:pPr>
              <w:jc w:val="right"/>
              <w:rPr>
                <w:b/>
                <w:bCs/>
              </w:rPr>
            </w:pPr>
            <w:r w:rsidRPr="009A4EAA">
              <w:rPr>
                <w:b/>
                <w:bCs/>
              </w:rPr>
              <w:t>100%</w:t>
            </w:r>
          </w:p>
        </w:tc>
      </w:tr>
      <w:tr w:rsidR="009A4EAA" w14:paraId="7655F632" w14:textId="77777777" w:rsidTr="009A4EAA">
        <w:tc>
          <w:tcPr>
            <w:tcW w:w="3581" w:type="dxa"/>
            <w:tcMar>
              <w:top w:w="72" w:type="dxa"/>
              <w:left w:w="115" w:type="dxa"/>
              <w:bottom w:w="72" w:type="dxa"/>
              <w:right w:w="115" w:type="dxa"/>
            </w:tcMar>
            <w:vAlign w:val="center"/>
          </w:tcPr>
          <w:p w14:paraId="73355639" w14:textId="2532DDC0" w:rsidR="009A4EAA" w:rsidRPr="009A4EAA" w:rsidRDefault="009A4EAA" w:rsidP="009A4EAA">
            <w:pPr>
              <w:rPr>
                <w:b/>
                <w:bCs/>
              </w:rPr>
            </w:pPr>
            <w:r w:rsidRPr="009A4EAA">
              <w:rPr>
                <w:b/>
                <w:bCs/>
              </w:rPr>
              <w:t>Operating Expenses</w:t>
            </w:r>
          </w:p>
        </w:tc>
        <w:tc>
          <w:tcPr>
            <w:tcW w:w="1622" w:type="dxa"/>
            <w:tcMar>
              <w:top w:w="72" w:type="dxa"/>
              <w:left w:w="115" w:type="dxa"/>
              <w:bottom w:w="72" w:type="dxa"/>
              <w:right w:w="115" w:type="dxa"/>
            </w:tcMar>
          </w:tcPr>
          <w:p w14:paraId="6039C4DD" w14:textId="77777777" w:rsidR="009A4EAA" w:rsidRPr="009A4EAA" w:rsidRDefault="009A4EAA" w:rsidP="009A4EAA">
            <w:pPr>
              <w:jc w:val="right"/>
              <w:rPr>
                <w:b/>
                <w:bCs/>
              </w:rPr>
            </w:pPr>
          </w:p>
        </w:tc>
        <w:tc>
          <w:tcPr>
            <w:tcW w:w="1622" w:type="dxa"/>
            <w:tcMar>
              <w:top w:w="72" w:type="dxa"/>
              <w:left w:w="115" w:type="dxa"/>
              <w:bottom w:w="72" w:type="dxa"/>
              <w:right w:w="115" w:type="dxa"/>
            </w:tcMar>
          </w:tcPr>
          <w:p w14:paraId="23422B61" w14:textId="77777777" w:rsidR="009A4EAA" w:rsidRPr="009A4EAA" w:rsidRDefault="009A4EAA" w:rsidP="009A4EAA">
            <w:pPr>
              <w:jc w:val="right"/>
              <w:rPr>
                <w:b/>
                <w:bCs/>
              </w:rPr>
            </w:pPr>
          </w:p>
        </w:tc>
        <w:tc>
          <w:tcPr>
            <w:tcW w:w="1622" w:type="dxa"/>
            <w:tcMar>
              <w:top w:w="72" w:type="dxa"/>
              <w:left w:w="115" w:type="dxa"/>
              <w:bottom w:w="72" w:type="dxa"/>
              <w:right w:w="115" w:type="dxa"/>
            </w:tcMar>
          </w:tcPr>
          <w:p w14:paraId="3C86DA97" w14:textId="77777777" w:rsidR="009A4EAA" w:rsidRPr="009A4EAA" w:rsidRDefault="009A4EAA" w:rsidP="009A4EAA">
            <w:pPr>
              <w:jc w:val="right"/>
              <w:rPr>
                <w:b/>
                <w:bCs/>
              </w:rPr>
            </w:pPr>
          </w:p>
        </w:tc>
        <w:tc>
          <w:tcPr>
            <w:tcW w:w="1623" w:type="dxa"/>
            <w:tcMar>
              <w:top w:w="72" w:type="dxa"/>
              <w:left w:w="115" w:type="dxa"/>
              <w:bottom w:w="72" w:type="dxa"/>
              <w:right w:w="115" w:type="dxa"/>
            </w:tcMar>
          </w:tcPr>
          <w:p w14:paraId="1C7CAF18" w14:textId="77777777" w:rsidR="009A4EAA" w:rsidRPr="009A4EAA" w:rsidRDefault="009A4EAA" w:rsidP="009A4EAA">
            <w:pPr>
              <w:jc w:val="right"/>
              <w:rPr>
                <w:b/>
                <w:bCs/>
              </w:rPr>
            </w:pPr>
          </w:p>
        </w:tc>
      </w:tr>
      <w:tr w:rsidR="009A4EAA" w14:paraId="3837CCD0" w14:textId="77777777" w:rsidTr="009A4EAA">
        <w:tc>
          <w:tcPr>
            <w:tcW w:w="3581" w:type="dxa"/>
            <w:tcMar>
              <w:top w:w="72" w:type="dxa"/>
              <w:left w:w="115" w:type="dxa"/>
              <w:bottom w:w="72" w:type="dxa"/>
              <w:right w:w="115" w:type="dxa"/>
            </w:tcMar>
            <w:vAlign w:val="center"/>
          </w:tcPr>
          <w:p w14:paraId="6D0E9AC9" w14:textId="2B71D483" w:rsidR="009A4EAA" w:rsidRPr="009A4EAA" w:rsidRDefault="009A4EAA" w:rsidP="009A4EAA">
            <w:r w:rsidRPr="009A4EAA">
              <w:t>Program Services- Grant Awards and Oversight</w:t>
            </w:r>
          </w:p>
        </w:tc>
        <w:tc>
          <w:tcPr>
            <w:tcW w:w="1622" w:type="dxa"/>
            <w:tcMar>
              <w:top w:w="72" w:type="dxa"/>
              <w:left w:w="115" w:type="dxa"/>
              <w:bottom w:w="72" w:type="dxa"/>
              <w:right w:w="115" w:type="dxa"/>
            </w:tcMar>
            <w:vAlign w:val="center"/>
          </w:tcPr>
          <w:p w14:paraId="6454F6B2" w14:textId="1F76503D" w:rsidR="009A4EAA" w:rsidRPr="009A4EAA" w:rsidRDefault="009A4EAA" w:rsidP="009A4EAA">
            <w:pPr>
              <w:jc w:val="right"/>
            </w:pPr>
            <w:r w:rsidRPr="009A4EAA">
              <w:t xml:space="preserve">$7,040,194 </w:t>
            </w:r>
          </w:p>
        </w:tc>
        <w:tc>
          <w:tcPr>
            <w:tcW w:w="1622" w:type="dxa"/>
            <w:tcMar>
              <w:top w:w="72" w:type="dxa"/>
              <w:left w:w="115" w:type="dxa"/>
              <w:bottom w:w="72" w:type="dxa"/>
              <w:right w:w="115" w:type="dxa"/>
            </w:tcMar>
            <w:vAlign w:val="center"/>
          </w:tcPr>
          <w:p w14:paraId="2A88F73D" w14:textId="47DFD7FE" w:rsidR="009A4EAA" w:rsidRPr="009A4EAA" w:rsidRDefault="009A4EAA" w:rsidP="009A4EAA">
            <w:pPr>
              <w:jc w:val="right"/>
            </w:pPr>
            <w:r w:rsidRPr="009A4EAA">
              <w:t xml:space="preserve"> $1,780,892 </w:t>
            </w:r>
          </w:p>
        </w:tc>
        <w:tc>
          <w:tcPr>
            <w:tcW w:w="1622" w:type="dxa"/>
            <w:tcMar>
              <w:top w:w="72" w:type="dxa"/>
              <w:left w:w="115" w:type="dxa"/>
              <w:bottom w:w="72" w:type="dxa"/>
              <w:right w:w="115" w:type="dxa"/>
            </w:tcMar>
            <w:vAlign w:val="center"/>
          </w:tcPr>
          <w:p w14:paraId="63819A34" w14:textId="716E106D" w:rsidR="009A4EAA" w:rsidRPr="009A4EAA" w:rsidRDefault="009A4EAA" w:rsidP="009A4EAA">
            <w:pPr>
              <w:jc w:val="right"/>
            </w:pPr>
            <w:r w:rsidRPr="009A4EAA">
              <w:t xml:space="preserve"> $8,821,086 </w:t>
            </w:r>
          </w:p>
        </w:tc>
        <w:tc>
          <w:tcPr>
            <w:tcW w:w="1623" w:type="dxa"/>
            <w:tcMar>
              <w:top w:w="72" w:type="dxa"/>
              <w:left w:w="115" w:type="dxa"/>
              <w:bottom w:w="72" w:type="dxa"/>
              <w:right w:w="115" w:type="dxa"/>
            </w:tcMar>
            <w:vAlign w:val="center"/>
          </w:tcPr>
          <w:p w14:paraId="7E059BD2" w14:textId="267907AE" w:rsidR="009A4EAA" w:rsidRPr="009A4EAA" w:rsidRDefault="009A4EAA" w:rsidP="009A4EAA">
            <w:pPr>
              <w:jc w:val="right"/>
            </w:pPr>
            <w:r w:rsidRPr="009A4EAA">
              <w:t>78%</w:t>
            </w:r>
          </w:p>
        </w:tc>
      </w:tr>
      <w:tr w:rsidR="009A4EAA" w14:paraId="4057221A" w14:textId="77777777" w:rsidTr="009A4EAA">
        <w:tc>
          <w:tcPr>
            <w:tcW w:w="3581" w:type="dxa"/>
            <w:tcMar>
              <w:top w:w="72" w:type="dxa"/>
              <w:left w:w="115" w:type="dxa"/>
              <w:bottom w:w="72" w:type="dxa"/>
              <w:right w:w="115" w:type="dxa"/>
            </w:tcMar>
            <w:vAlign w:val="center"/>
          </w:tcPr>
          <w:p w14:paraId="3B5FB455" w14:textId="48F25D30" w:rsidR="009A4EAA" w:rsidRPr="009A4EAA" w:rsidRDefault="009A4EAA" w:rsidP="009A4EAA">
            <w:r w:rsidRPr="009A4EAA">
              <w:t>General and Administrative</w:t>
            </w:r>
          </w:p>
        </w:tc>
        <w:tc>
          <w:tcPr>
            <w:tcW w:w="1622" w:type="dxa"/>
            <w:tcMar>
              <w:top w:w="72" w:type="dxa"/>
              <w:left w:w="115" w:type="dxa"/>
              <w:bottom w:w="72" w:type="dxa"/>
              <w:right w:w="115" w:type="dxa"/>
            </w:tcMar>
          </w:tcPr>
          <w:p w14:paraId="6195E297" w14:textId="41456D13" w:rsidR="009A4EAA" w:rsidRPr="009A4EAA" w:rsidRDefault="009A4EAA" w:rsidP="009A4EAA">
            <w:pPr>
              <w:jc w:val="right"/>
            </w:pPr>
            <w:r w:rsidRPr="009A4EAA">
              <w:t xml:space="preserve">$1,884,991 </w:t>
            </w:r>
          </w:p>
        </w:tc>
        <w:tc>
          <w:tcPr>
            <w:tcW w:w="1622" w:type="dxa"/>
            <w:tcMar>
              <w:top w:w="72" w:type="dxa"/>
              <w:left w:w="115" w:type="dxa"/>
              <w:bottom w:w="72" w:type="dxa"/>
              <w:right w:w="115" w:type="dxa"/>
            </w:tcMar>
          </w:tcPr>
          <w:p w14:paraId="4E22A028" w14:textId="063F2BA9" w:rsidR="009A4EAA" w:rsidRPr="009A4EAA" w:rsidRDefault="009A4EAA" w:rsidP="009A4EAA">
            <w:pPr>
              <w:jc w:val="right"/>
            </w:pPr>
            <w:r w:rsidRPr="009A4EAA">
              <w:t xml:space="preserve"> $131,438 </w:t>
            </w:r>
          </w:p>
        </w:tc>
        <w:tc>
          <w:tcPr>
            <w:tcW w:w="1622" w:type="dxa"/>
            <w:tcMar>
              <w:top w:w="72" w:type="dxa"/>
              <w:left w:w="115" w:type="dxa"/>
              <w:bottom w:w="72" w:type="dxa"/>
              <w:right w:w="115" w:type="dxa"/>
            </w:tcMar>
          </w:tcPr>
          <w:p w14:paraId="21670E8D" w14:textId="407A98FC" w:rsidR="009A4EAA" w:rsidRPr="009A4EAA" w:rsidRDefault="009A4EAA" w:rsidP="009A4EAA">
            <w:pPr>
              <w:jc w:val="right"/>
            </w:pPr>
            <w:r w:rsidRPr="009A4EAA">
              <w:t xml:space="preserve"> $2,016,429 </w:t>
            </w:r>
          </w:p>
        </w:tc>
        <w:tc>
          <w:tcPr>
            <w:tcW w:w="1623" w:type="dxa"/>
            <w:tcMar>
              <w:top w:w="72" w:type="dxa"/>
              <w:left w:w="115" w:type="dxa"/>
              <w:bottom w:w="72" w:type="dxa"/>
              <w:right w:w="115" w:type="dxa"/>
            </w:tcMar>
          </w:tcPr>
          <w:p w14:paraId="09A5FFE8" w14:textId="3A4BC3EE" w:rsidR="009A4EAA" w:rsidRPr="009A4EAA" w:rsidRDefault="009A4EAA" w:rsidP="009A4EAA">
            <w:pPr>
              <w:jc w:val="right"/>
            </w:pPr>
            <w:r w:rsidRPr="009A4EAA">
              <w:t>18%</w:t>
            </w:r>
          </w:p>
        </w:tc>
      </w:tr>
      <w:tr w:rsidR="009A4EAA" w14:paraId="4517AF7C" w14:textId="77777777" w:rsidTr="009A4EAA">
        <w:tc>
          <w:tcPr>
            <w:tcW w:w="3581" w:type="dxa"/>
            <w:tcMar>
              <w:top w:w="72" w:type="dxa"/>
              <w:left w:w="115" w:type="dxa"/>
              <w:bottom w:w="72" w:type="dxa"/>
              <w:right w:w="115" w:type="dxa"/>
            </w:tcMar>
            <w:vAlign w:val="center"/>
          </w:tcPr>
          <w:p w14:paraId="56CDD454" w14:textId="14EDCBBD" w:rsidR="009A4EAA" w:rsidRPr="009A4EAA" w:rsidRDefault="009A4EAA" w:rsidP="009A4EAA">
            <w:r w:rsidRPr="009A4EAA">
              <w:t>Fundraising</w:t>
            </w:r>
          </w:p>
        </w:tc>
        <w:tc>
          <w:tcPr>
            <w:tcW w:w="1622" w:type="dxa"/>
            <w:tcMar>
              <w:top w:w="72" w:type="dxa"/>
              <w:left w:w="115" w:type="dxa"/>
              <w:bottom w:w="72" w:type="dxa"/>
              <w:right w:w="115" w:type="dxa"/>
            </w:tcMar>
          </w:tcPr>
          <w:p w14:paraId="31576FC9" w14:textId="07A846C6" w:rsidR="009A4EAA" w:rsidRPr="009A4EAA" w:rsidRDefault="009A4EAA" w:rsidP="009A4EAA">
            <w:pPr>
              <w:jc w:val="right"/>
            </w:pPr>
            <w:r w:rsidRPr="009A4EAA">
              <w:t xml:space="preserve"> $405,603 </w:t>
            </w:r>
          </w:p>
        </w:tc>
        <w:tc>
          <w:tcPr>
            <w:tcW w:w="1622" w:type="dxa"/>
            <w:tcMar>
              <w:top w:w="72" w:type="dxa"/>
              <w:left w:w="115" w:type="dxa"/>
              <w:bottom w:w="72" w:type="dxa"/>
              <w:right w:w="115" w:type="dxa"/>
            </w:tcMar>
          </w:tcPr>
          <w:p w14:paraId="026840A0" w14:textId="5DAFCE14" w:rsidR="009A4EAA" w:rsidRPr="009A4EAA" w:rsidRDefault="009A4EAA" w:rsidP="009A4EAA">
            <w:pPr>
              <w:jc w:val="right"/>
            </w:pPr>
            <w:r w:rsidRPr="009A4EAA">
              <w:t xml:space="preserve"> $61,521 </w:t>
            </w:r>
          </w:p>
        </w:tc>
        <w:tc>
          <w:tcPr>
            <w:tcW w:w="1622" w:type="dxa"/>
            <w:tcMar>
              <w:top w:w="72" w:type="dxa"/>
              <w:left w:w="115" w:type="dxa"/>
              <w:bottom w:w="72" w:type="dxa"/>
              <w:right w:w="115" w:type="dxa"/>
            </w:tcMar>
          </w:tcPr>
          <w:p w14:paraId="7483DBFD" w14:textId="3C81BF4A" w:rsidR="009A4EAA" w:rsidRPr="009A4EAA" w:rsidRDefault="009A4EAA" w:rsidP="009A4EAA">
            <w:pPr>
              <w:jc w:val="right"/>
            </w:pPr>
            <w:r w:rsidRPr="009A4EAA">
              <w:t xml:space="preserve"> $467,124 </w:t>
            </w:r>
          </w:p>
        </w:tc>
        <w:tc>
          <w:tcPr>
            <w:tcW w:w="1623" w:type="dxa"/>
            <w:tcMar>
              <w:top w:w="72" w:type="dxa"/>
              <w:left w:w="115" w:type="dxa"/>
              <w:bottom w:w="72" w:type="dxa"/>
              <w:right w:w="115" w:type="dxa"/>
            </w:tcMar>
          </w:tcPr>
          <w:p w14:paraId="019B7D04" w14:textId="5894548B" w:rsidR="009A4EAA" w:rsidRPr="009A4EAA" w:rsidRDefault="009A4EAA" w:rsidP="009A4EAA">
            <w:pPr>
              <w:jc w:val="right"/>
            </w:pPr>
            <w:r w:rsidRPr="009A4EAA">
              <w:t>4%</w:t>
            </w:r>
          </w:p>
        </w:tc>
      </w:tr>
      <w:tr w:rsidR="009A4EAA" w14:paraId="2424D07F" w14:textId="77777777" w:rsidTr="00565EB9">
        <w:tc>
          <w:tcPr>
            <w:tcW w:w="3581" w:type="dxa"/>
            <w:shd w:val="clear" w:color="auto" w:fill="D9D9D9" w:themeFill="background1" w:themeFillShade="D9"/>
            <w:tcMar>
              <w:top w:w="72" w:type="dxa"/>
              <w:left w:w="115" w:type="dxa"/>
              <w:bottom w:w="72" w:type="dxa"/>
              <w:right w:w="115" w:type="dxa"/>
            </w:tcMar>
            <w:vAlign w:val="center"/>
          </w:tcPr>
          <w:p w14:paraId="6709C08D" w14:textId="01ADC836" w:rsidR="009A4EAA" w:rsidRPr="009A4EAA" w:rsidRDefault="009A4EAA" w:rsidP="009A4EAA">
            <w:pPr>
              <w:rPr>
                <w:b/>
                <w:bCs/>
              </w:rPr>
            </w:pPr>
            <w:r w:rsidRPr="009A4EAA">
              <w:rPr>
                <w:b/>
                <w:bCs/>
              </w:rPr>
              <w:t>Total Expenses</w:t>
            </w:r>
          </w:p>
        </w:tc>
        <w:tc>
          <w:tcPr>
            <w:tcW w:w="1622" w:type="dxa"/>
            <w:shd w:val="clear" w:color="auto" w:fill="D9D9D9" w:themeFill="background1" w:themeFillShade="D9"/>
            <w:tcMar>
              <w:top w:w="72" w:type="dxa"/>
              <w:left w:w="115" w:type="dxa"/>
              <w:bottom w:w="72" w:type="dxa"/>
              <w:right w:w="115" w:type="dxa"/>
            </w:tcMar>
          </w:tcPr>
          <w:p w14:paraId="7C2CC181" w14:textId="7DABC22E" w:rsidR="009A4EAA" w:rsidRPr="009A4EAA" w:rsidRDefault="009A4EAA" w:rsidP="009A4EAA">
            <w:pPr>
              <w:jc w:val="right"/>
              <w:rPr>
                <w:b/>
                <w:bCs/>
              </w:rPr>
            </w:pPr>
            <w:r w:rsidRPr="009A4EAA">
              <w:rPr>
                <w:b/>
                <w:bCs/>
              </w:rPr>
              <w:t xml:space="preserve">$9,330,788 </w:t>
            </w:r>
          </w:p>
        </w:tc>
        <w:tc>
          <w:tcPr>
            <w:tcW w:w="1622" w:type="dxa"/>
            <w:shd w:val="clear" w:color="auto" w:fill="D9D9D9" w:themeFill="background1" w:themeFillShade="D9"/>
            <w:tcMar>
              <w:top w:w="72" w:type="dxa"/>
              <w:left w:w="115" w:type="dxa"/>
              <w:bottom w:w="72" w:type="dxa"/>
              <w:right w:w="115" w:type="dxa"/>
            </w:tcMar>
          </w:tcPr>
          <w:p w14:paraId="5C085B5C" w14:textId="35276AED" w:rsidR="009A4EAA" w:rsidRPr="009A4EAA" w:rsidRDefault="009A4EAA" w:rsidP="009A4EAA">
            <w:pPr>
              <w:jc w:val="right"/>
              <w:rPr>
                <w:b/>
                <w:bCs/>
              </w:rPr>
            </w:pPr>
            <w:r w:rsidRPr="009A4EAA">
              <w:rPr>
                <w:b/>
                <w:bCs/>
              </w:rPr>
              <w:t xml:space="preserve"> $1,973,851 </w:t>
            </w:r>
          </w:p>
        </w:tc>
        <w:tc>
          <w:tcPr>
            <w:tcW w:w="1622" w:type="dxa"/>
            <w:shd w:val="clear" w:color="auto" w:fill="D9D9D9" w:themeFill="background1" w:themeFillShade="D9"/>
            <w:tcMar>
              <w:top w:w="72" w:type="dxa"/>
              <w:left w:w="115" w:type="dxa"/>
              <w:bottom w:w="72" w:type="dxa"/>
              <w:right w:w="115" w:type="dxa"/>
            </w:tcMar>
          </w:tcPr>
          <w:p w14:paraId="47A5CF09" w14:textId="1FA2832D" w:rsidR="009A4EAA" w:rsidRPr="009A4EAA" w:rsidRDefault="009A4EAA" w:rsidP="009A4EAA">
            <w:pPr>
              <w:jc w:val="right"/>
              <w:rPr>
                <w:b/>
                <w:bCs/>
              </w:rPr>
            </w:pPr>
            <w:r w:rsidRPr="009A4EAA">
              <w:rPr>
                <w:b/>
                <w:bCs/>
              </w:rPr>
              <w:t xml:space="preserve">$11,304,639 </w:t>
            </w:r>
          </w:p>
        </w:tc>
        <w:tc>
          <w:tcPr>
            <w:tcW w:w="1623" w:type="dxa"/>
            <w:shd w:val="clear" w:color="auto" w:fill="D9D9D9" w:themeFill="background1" w:themeFillShade="D9"/>
            <w:tcMar>
              <w:top w:w="72" w:type="dxa"/>
              <w:left w:w="115" w:type="dxa"/>
              <w:bottom w:w="72" w:type="dxa"/>
              <w:right w:w="115" w:type="dxa"/>
            </w:tcMar>
          </w:tcPr>
          <w:p w14:paraId="3F04545A" w14:textId="13A558CC" w:rsidR="009A4EAA" w:rsidRPr="009A4EAA" w:rsidRDefault="009A4EAA" w:rsidP="009A4EAA">
            <w:pPr>
              <w:jc w:val="right"/>
              <w:rPr>
                <w:b/>
                <w:bCs/>
              </w:rPr>
            </w:pPr>
            <w:r w:rsidRPr="009A4EAA">
              <w:rPr>
                <w:b/>
                <w:bCs/>
              </w:rPr>
              <w:t>100%</w:t>
            </w:r>
          </w:p>
        </w:tc>
      </w:tr>
    </w:tbl>
    <w:p w14:paraId="0279BFC9" w14:textId="77777777" w:rsidR="00003600" w:rsidRDefault="00003600" w:rsidP="009A4EAA">
      <w:pPr>
        <w:pStyle w:val="Heading2"/>
        <w:spacing w:before="480"/>
      </w:pPr>
      <w:r w:rsidRPr="00003600">
        <w:t>Grantmaking Committee</w:t>
      </w:r>
    </w:p>
    <w:p w14:paraId="12533230" w14:textId="77777777" w:rsidR="00003600" w:rsidRPr="00003600" w:rsidRDefault="00003600" w:rsidP="00003600">
      <w:r w:rsidRPr="00003600">
        <w:t xml:space="preserve">Our Grantmaking Committee (GMC) makes all grantmaking decisions pertaining to DRF’s annual grant round and informs our grantmaking priorities. Committee members are a mix of disability rights activists and donor representatives. </w:t>
      </w:r>
    </w:p>
    <w:p w14:paraId="7DF2C201" w14:textId="77777777" w:rsidR="00003600" w:rsidRPr="00003600" w:rsidRDefault="00003600" w:rsidP="00003600">
      <w:pPr>
        <w:pStyle w:val="Heading3"/>
      </w:pPr>
      <w:r w:rsidRPr="00003600">
        <w:t xml:space="preserve">GMC members </w:t>
      </w:r>
    </w:p>
    <w:p w14:paraId="6509AE47" w14:textId="77777777" w:rsidR="00003600" w:rsidRPr="00003600" w:rsidRDefault="00003600" w:rsidP="00003600">
      <w:pPr>
        <w:pStyle w:val="ListParagraph"/>
        <w:numPr>
          <w:ilvl w:val="0"/>
          <w:numId w:val="12"/>
        </w:numPr>
      </w:pPr>
      <w:r w:rsidRPr="00003600">
        <w:t xml:space="preserve">Nikki Brown-Booker, USA </w:t>
      </w:r>
    </w:p>
    <w:p w14:paraId="3F6FB4D5" w14:textId="77777777" w:rsidR="00003600" w:rsidRPr="00003600" w:rsidRDefault="00003600" w:rsidP="00003600">
      <w:pPr>
        <w:pStyle w:val="ListParagraph"/>
        <w:numPr>
          <w:ilvl w:val="0"/>
          <w:numId w:val="12"/>
        </w:numPr>
      </w:pPr>
      <w:r w:rsidRPr="00003600">
        <w:t xml:space="preserve">Nandini Ghosh, India </w:t>
      </w:r>
    </w:p>
    <w:p w14:paraId="3B791D74" w14:textId="77777777" w:rsidR="00003600" w:rsidRPr="00003600" w:rsidRDefault="00003600" w:rsidP="00003600">
      <w:pPr>
        <w:pStyle w:val="ListParagraph"/>
        <w:numPr>
          <w:ilvl w:val="0"/>
          <w:numId w:val="12"/>
        </w:numPr>
      </w:pPr>
      <w:proofErr w:type="spellStart"/>
      <w:r w:rsidRPr="00003600">
        <w:t>Ishumael</w:t>
      </w:r>
      <w:proofErr w:type="spellEnd"/>
      <w:r w:rsidRPr="00003600">
        <w:t xml:space="preserve"> Zhou, Zimbabwe </w:t>
      </w:r>
    </w:p>
    <w:p w14:paraId="306BCF52" w14:textId="77777777" w:rsidR="00003600" w:rsidRPr="00003600" w:rsidRDefault="00003600" w:rsidP="00003600">
      <w:pPr>
        <w:pStyle w:val="ListParagraph"/>
        <w:numPr>
          <w:ilvl w:val="0"/>
          <w:numId w:val="12"/>
        </w:numPr>
      </w:pPr>
      <w:r w:rsidRPr="00003600">
        <w:t>Waqar Puri, Pakistan</w:t>
      </w:r>
    </w:p>
    <w:p w14:paraId="32FD5102" w14:textId="77777777" w:rsidR="00003600" w:rsidRPr="00003600" w:rsidRDefault="00003600" w:rsidP="00003600">
      <w:pPr>
        <w:pStyle w:val="ListParagraph"/>
        <w:numPr>
          <w:ilvl w:val="0"/>
          <w:numId w:val="12"/>
        </w:numPr>
      </w:pPr>
      <w:r w:rsidRPr="00003600">
        <w:t xml:space="preserve">Sena </w:t>
      </w:r>
      <w:proofErr w:type="spellStart"/>
      <w:r w:rsidRPr="00003600">
        <w:t>Ar-Rikaby</w:t>
      </w:r>
      <w:proofErr w:type="spellEnd"/>
      <w:r w:rsidRPr="00003600">
        <w:t xml:space="preserve">, UK </w:t>
      </w:r>
    </w:p>
    <w:p w14:paraId="3B1999DC" w14:textId="77777777" w:rsidR="00003600" w:rsidRPr="00003600" w:rsidRDefault="00003600" w:rsidP="00003600">
      <w:pPr>
        <w:pStyle w:val="ListParagraph"/>
        <w:numPr>
          <w:ilvl w:val="0"/>
          <w:numId w:val="12"/>
        </w:numPr>
      </w:pPr>
      <w:r w:rsidRPr="00003600">
        <w:t xml:space="preserve">Hannah Birks, Australia  </w:t>
      </w:r>
    </w:p>
    <w:p w14:paraId="02297282" w14:textId="6030687C" w:rsidR="00003600" w:rsidRPr="00003600" w:rsidRDefault="00003600" w:rsidP="00003600">
      <w:pPr>
        <w:pStyle w:val="ListParagraph"/>
        <w:numPr>
          <w:ilvl w:val="0"/>
          <w:numId w:val="12"/>
        </w:numPr>
      </w:pPr>
      <w:r w:rsidRPr="00003600">
        <w:t>Catalina Hodenfield, USA</w:t>
      </w:r>
    </w:p>
    <w:p w14:paraId="2B9C374D" w14:textId="6B0B1578" w:rsidR="00003600" w:rsidRPr="00003600" w:rsidRDefault="00003600" w:rsidP="00003600">
      <w:r w:rsidRPr="00003600">
        <w:t xml:space="preserve">We thank our departing GMC members, Myroslava Tataryn, Susannah Rodgers, and Helena Woods, for their devoted service.  </w:t>
      </w:r>
    </w:p>
    <w:p w14:paraId="58F61884" w14:textId="429A8316" w:rsidR="00003600" w:rsidRDefault="00003600" w:rsidP="00003600">
      <w:r>
        <w:lastRenderedPageBreak/>
        <w:t>“</w:t>
      </w:r>
      <w:r w:rsidRPr="00003600">
        <w:t xml:space="preserve">Serving on DRF’s Grantmaking Committee (GMC) has been deeply enriching. Beyond funding, it’s about shifting power, fostering leadership, and supporting the visions of national OPDs across the Global South. It’s a unique chance to engage with grassroots movements and learn from the innovation within the disability rights space. With DRF’s new strategic framework, this past year has been one of bold growth. As GMC members, we’re proud to support the grantmaking priorities and advance the vision of disability rights for everyone, everywhere.” </w:t>
      </w:r>
      <w:r>
        <w:t xml:space="preserve">- </w:t>
      </w:r>
      <w:r w:rsidRPr="00003600">
        <w:t>Waqar Puri</w:t>
      </w:r>
    </w:p>
    <w:p w14:paraId="1CC54C7B" w14:textId="77777777" w:rsidR="00003600" w:rsidRDefault="00003600" w:rsidP="00003600">
      <w:pPr>
        <w:pStyle w:val="Heading2"/>
      </w:pPr>
      <w:r w:rsidRPr="00003600">
        <w:t>Current Board of Directors</w:t>
      </w:r>
    </w:p>
    <w:p w14:paraId="0740A501" w14:textId="4F54468B" w:rsidR="00003600" w:rsidRPr="00003600" w:rsidRDefault="00003600" w:rsidP="00003600">
      <w:pPr>
        <w:pStyle w:val="ListParagraph"/>
        <w:numPr>
          <w:ilvl w:val="0"/>
          <w:numId w:val="13"/>
        </w:numPr>
      </w:pPr>
      <w:r w:rsidRPr="00003600">
        <w:t xml:space="preserve">Maria Ní </w:t>
      </w:r>
      <w:proofErr w:type="spellStart"/>
      <w:r w:rsidRPr="00003600">
        <w:t>Fhlatharta</w:t>
      </w:r>
      <w:proofErr w:type="spellEnd"/>
      <w:r w:rsidRPr="00003600">
        <w:t xml:space="preserve"> (Co-Chair)</w:t>
      </w:r>
    </w:p>
    <w:p w14:paraId="142023BB" w14:textId="1FAF5528" w:rsidR="00003600" w:rsidRPr="00003600" w:rsidRDefault="00003600" w:rsidP="00003600">
      <w:pPr>
        <w:pStyle w:val="ListParagraph"/>
        <w:numPr>
          <w:ilvl w:val="0"/>
          <w:numId w:val="13"/>
        </w:numPr>
      </w:pPr>
      <w:r w:rsidRPr="00003600">
        <w:t xml:space="preserve">Alberto Vásquez (Co-Chair) </w:t>
      </w:r>
    </w:p>
    <w:p w14:paraId="2E9B31C6" w14:textId="77777777" w:rsidR="00003600" w:rsidRPr="00003600" w:rsidRDefault="00003600" w:rsidP="00003600">
      <w:pPr>
        <w:pStyle w:val="ListParagraph"/>
        <w:numPr>
          <w:ilvl w:val="0"/>
          <w:numId w:val="13"/>
        </w:numPr>
      </w:pPr>
      <w:proofErr w:type="spellStart"/>
      <w:r w:rsidRPr="00003600">
        <w:t>Setareki</w:t>
      </w:r>
      <w:proofErr w:type="spellEnd"/>
      <w:r w:rsidRPr="00003600">
        <w:t xml:space="preserve"> S. </w:t>
      </w:r>
      <w:proofErr w:type="spellStart"/>
      <w:r w:rsidRPr="00003600">
        <w:t>Macanawai</w:t>
      </w:r>
      <w:proofErr w:type="spellEnd"/>
    </w:p>
    <w:p w14:paraId="12D145E2" w14:textId="77777777" w:rsidR="00003600" w:rsidRPr="00003600" w:rsidRDefault="00003600" w:rsidP="00003600">
      <w:pPr>
        <w:pStyle w:val="ListParagraph"/>
        <w:numPr>
          <w:ilvl w:val="0"/>
          <w:numId w:val="13"/>
        </w:numPr>
      </w:pPr>
      <w:proofErr w:type="spellStart"/>
      <w:r w:rsidRPr="00003600">
        <w:t>Sikelelwa</w:t>
      </w:r>
      <w:proofErr w:type="spellEnd"/>
      <w:r w:rsidRPr="00003600">
        <w:t xml:space="preserve"> Alexandrina Msitshana </w:t>
      </w:r>
    </w:p>
    <w:p w14:paraId="0172B77D" w14:textId="77777777" w:rsidR="00003600" w:rsidRPr="00003600" w:rsidRDefault="00003600" w:rsidP="00003600">
      <w:pPr>
        <w:pStyle w:val="ListParagraph"/>
        <w:numPr>
          <w:ilvl w:val="0"/>
          <w:numId w:val="13"/>
        </w:numPr>
      </w:pPr>
      <w:r w:rsidRPr="00003600">
        <w:t>Michael Njenga</w:t>
      </w:r>
    </w:p>
    <w:p w14:paraId="28F5D55B" w14:textId="77777777" w:rsidR="00003600" w:rsidRPr="00003600" w:rsidRDefault="00003600" w:rsidP="00003600">
      <w:pPr>
        <w:pStyle w:val="ListParagraph"/>
        <w:numPr>
          <w:ilvl w:val="0"/>
          <w:numId w:val="13"/>
        </w:numPr>
      </w:pPr>
      <w:r w:rsidRPr="00003600">
        <w:t>Michael Szporluk</w:t>
      </w:r>
    </w:p>
    <w:p w14:paraId="77E78047" w14:textId="7A06DE92" w:rsidR="00003600" w:rsidRPr="00003600" w:rsidRDefault="00003600" w:rsidP="00003600">
      <w:pPr>
        <w:pStyle w:val="ListParagraph"/>
        <w:numPr>
          <w:ilvl w:val="0"/>
          <w:numId w:val="13"/>
        </w:numPr>
      </w:pPr>
      <w:r w:rsidRPr="00003600">
        <w:t>Benjamin Mahnke</w:t>
      </w:r>
    </w:p>
    <w:p w14:paraId="3A445B3C" w14:textId="4F80D056" w:rsidR="00003600" w:rsidRDefault="00003600" w:rsidP="00003600">
      <w:r w:rsidRPr="00003600">
        <w:t>"2024 marked a powerful new chapter for the Disability Rights Fund. With the launch of our bold five-year strategic plan and refreshed brand, we reaffirmed our commitment to disability rights movements in the Global South. This new direction is rooted in the leadership of persons with disabilities and guided by our values of interdependence, intersectionality, and collective care. As Co-Chairs, we are proud to stand alongside our grantees, staff and communities as we move forward together — united and more visible and determined than ever."</w:t>
      </w:r>
      <w:r>
        <w:t xml:space="preserve"> - </w:t>
      </w:r>
      <w:r w:rsidRPr="00003600">
        <w:t xml:space="preserve">Maria Ní </w:t>
      </w:r>
      <w:proofErr w:type="spellStart"/>
      <w:r w:rsidRPr="00003600">
        <w:t>Fhlatharta</w:t>
      </w:r>
      <w:proofErr w:type="spellEnd"/>
      <w:r w:rsidRPr="00003600">
        <w:t xml:space="preserve"> and Alberto Vásquez, DRF Board Co-Chairs</w:t>
      </w:r>
    </w:p>
    <w:p w14:paraId="3323053C" w14:textId="77777777" w:rsidR="004A6057" w:rsidRDefault="004A6057" w:rsidP="004A6057">
      <w:pPr>
        <w:pStyle w:val="Heading2"/>
      </w:pPr>
      <w:r w:rsidRPr="004A6057">
        <w:t>Powered by People: Celebrating Our Team</w:t>
      </w:r>
    </w:p>
    <w:p w14:paraId="2B04DA93" w14:textId="5B208700" w:rsidR="0006021B" w:rsidRPr="0006021B" w:rsidRDefault="004A6057" w:rsidP="0006021B">
      <w:r w:rsidRPr="004A6057">
        <w:t>We thank ALL DRF team members for their unwavering dedication and powerful contributions to our organizations last year. DRF’s diverse global team brings strategic insights from our movement, operations, learning and growth divisions.</w:t>
      </w:r>
    </w:p>
    <w:p w14:paraId="59BA82F3" w14:textId="77777777" w:rsidR="0006021B" w:rsidRPr="0006021B" w:rsidRDefault="0006021B" w:rsidP="0006021B">
      <w:r w:rsidRPr="0006021B">
        <w:t xml:space="preserve">We thank former staff members, Lorraine </w:t>
      </w:r>
      <w:proofErr w:type="spellStart"/>
      <w:r w:rsidRPr="0006021B">
        <w:t>Wapling</w:t>
      </w:r>
      <w:proofErr w:type="spellEnd"/>
      <w:r w:rsidRPr="0006021B">
        <w:t xml:space="preserve">, Christina Parasyn, Krishna Gahatraj, Jean-Pierre Sibomana, and Federico Martire for their profound contributions to our organizations. </w:t>
      </w:r>
    </w:p>
    <w:p w14:paraId="66B41ED8" w14:textId="77777777" w:rsidR="0006021B" w:rsidRDefault="0006021B" w:rsidP="0006021B">
      <w:pPr>
        <w:pStyle w:val="Heading2"/>
      </w:pPr>
      <w:r w:rsidRPr="0006021B">
        <w:t>Credits</w:t>
      </w:r>
    </w:p>
    <w:p w14:paraId="7E2F96BD" w14:textId="77777777" w:rsidR="0006021B" w:rsidRPr="0006021B" w:rsidRDefault="0006021B" w:rsidP="0006021B">
      <w:r w:rsidRPr="0006021B">
        <w:t>This report was produced by Rucha Chitnis, DRF’s Communications Director.</w:t>
      </w:r>
    </w:p>
    <w:p w14:paraId="6CD3E5CB" w14:textId="02B6C361" w:rsidR="0006021B" w:rsidRPr="0006021B" w:rsidRDefault="0006021B" w:rsidP="0006021B">
      <w:r w:rsidRPr="0006021B">
        <w:lastRenderedPageBreak/>
        <w:t>We thank all our team members for contributing to this publication.</w:t>
      </w:r>
    </w:p>
    <w:p w14:paraId="37104FF0" w14:textId="3966CDD6" w:rsidR="004A6057" w:rsidRPr="00053D2F" w:rsidRDefault="0006021B" w:rsidP="00053D2F">
      <w:pPr>
        <w:spacing w:before="240" w:after="0"/>
        <w:rPr>
          <w:b/>
          <w:bCs/>
        </w:rPr>
      </w:pPr>
      <w:r w:rsidRPr="00053D2F">
        <w:rPr>
          <w:b/>
          <w:bCs/>
        </w:rPr>
        <w:t>Disability Rights Fund and Disability Rights Advocacy Fund</w:t>
      </w:r>
    </w:p>
    <w:p w14:paraId="23F6D752" w14:textId="77777777" w:rsidR="0006021B" w:rsidRPr="0006021B" w:rsidRDefault="0006021B" w:rsidP="00053D2F">
      <w:pPr>
        <w:spacing w:after="0"/>
        <w:rPr>
          <w:lang w:val="fr-FR"/>
        </w:rPr>
      </w:pPr>
      <w:r w:rsidRPr="0006021B">
        <w:rPr>
          <w:lang w:val="fr-FR"/>
        </w:rPr>
        <w:t xml:space="preserve">68 Harrison Ave., Suite 605, PMB 655441 </w:t>
      </w:r>
    </w:p>
    <w:p w14:paraId="4FAF2E98" w14:textId="77777777" w:rsidR="0006021B" w:rsidRPr="0006021B" w:rsidRDefault="0006021B" w:rsidP="00053D2F">
      <w:pPr>
        <w:spacing w:after="0"/>
        <w:rPr>
          <w:lang w:val="fr-FR"/>
        </w:rPr>
      </w:pPr>
      <w:r w:rsidRPr="0006021B">
        <w:rPr>
          <w:lang w:val="fr-FR"/>
        </w:rPr>
        <w:t>Boston, MA 02111-1929</w:t>
      </w:r>
    </w:p>
    <w:p w14:paraId="0E9B53D7" w14:textId="73B17B6C" w:rsidR="0006021B" w:rsidRPr="0006021B" w:rsidRDefault="0006021B" w:rsidP="00053D2F">
      <w:pPr>
        <w:pStyle w:val="ListParagraph"/>
        <w:numPr>
          <w:ilvl w:val="0"/>
          <w:numId w:val="15"/>
        </w:numPr>
      </w:pPr>
      <w:hyperlink r:id="rId10" w:history="1">
        <w:r w:rsidRPr="0006021B">
          <w:rPr>
            <w:rStyle w:val="Hyperlink"/>
          </w:rPr>
          <w:t>disabilityrightsfund.org</w:t>
        </w:r>
      </w:hyperlink>
      <w:r w:rsidRPr="0006021B">
        <w:t xml:space="preserve"> </w:t>
      </w:r>
    </w:p>
    <w:p w14:paraId="77EC11AE" w14:textId="041744D6" w:rsidR="0006021B" w:rsidRDefault="0006021B" w:rsidP="00053D2F">
      <w:pPr>
        <w:pStyle w:val="ListParagraph"/>
        <w:numPr>
          <w:ilvl w:val="0"/>
          <w:numId w:val="15"/>
        </w:numPr>
      </w:pPr>
      <w:hyperlink r:id="rId11" w:history="1">
        <w:r w:rsidRPr="0006021B">
          <w:rPr>
            <w:rStyle w:val="Hyperlink"/>
          </w:rPr>
          <w:t>drafund.org</w:t>
        </w:r>
      </w:hyperlink>
    </w:p>
    <w:p w14:paraId="1625069C" w14:textId="4D2660B3" w:rsidR="0006021B" w:rsidRDefault="0006021B" w:rsidP="00053D2F">
      <w:pPr>
        <w:pStyle w:val="ListParagraph"/>
        <w:numPr>
          <w:ilvl w:val="0"/>
          <w:numId w:val="15"/>
        </w:numPr>
      </w:pPr>
      <w:r>
        <w:t xml:space="preserve">Email: </w:t>
      </w:r>
      <w:hyperlink r:id="rId12" w:history="1">
        <w:proofErr w:type="spellStart"/>
        <w:r w:rsidRPr="0006021B">
          <w:rPr>
            <w:rStyle w:val="Hyperlink"/>
          </w:rPr>
          <w:t>info@disabilityrightsfund</w:t>
        </w:r>
        <w:proofErr w:type="spellEnd"/>
      </w:hyperlink>
    </w:p>
    <w:p w14:paraId="75223183" w14:textId="2BC23290" w:rsidR="0006021B" w:rsidRPr="0006021B" w:rsidRDefault="0006021B" w:rsidP="00053D2F">
      <w:pPr>
        <w:pStyle w:val="ListParagraph"/>
        <w:numPr>
          <w:ilvl w:val="0"/>
          <w:numId w:val="15"/>
        </w:numPr>
      </w:pPr>
      <w:r>
        <w:t xml:space="preserve">Facebook: </w:t>
      </w:r>
      <w:hyperlink r:id="rId13" w:history="1">
        <w:proofErr w:type="spellStart"/>
        <w:r w:rsidRPr="0006021B">
          <w:rPr>
            <w:rStyle w:val="Hyperlink"/>
          </w:rPr>
          <w:t>DisabilityRightsFund</w:t>
        </w:r>
        <w:proofErr w:type="spellEnd"/>
      </w:hyperlink>
    </w:p>
    <w:p w14:paraId="5654A588" w14:textId="3676A3D9" w:rsidR="0006021B" w:rsidRPr="0006021B" w:rsidRDefault="0006021B" w:rsidP="00053D2F">
      <w:pPr>
        <w:pStyle w:val="ListParagraph"/>
        <w:numPr>
          <w:ilvl w:val="0"/>
          <w:numId w:val="15"/>
        </w:numPr>
      </w:pPr>
      <w:r>
        <w:t xml:space="preserve">Instagram: </w:t>
      </w:r>
      <w:hyperlink r:id="rId14" w:history="1">
        <w:proofErr w:type="spellStart"/>
        <w:r w:rsidRPr="0006021B">
          <w:rPr>
            <w:rStyle w:val="Hyperlink"/>
          </w:rPr>
          <w:t>DisabilityRightsFund</w:t>
        </w:r>
        <w:proofErr w:type="spellEnd"/>
      </w:hyperlink>
    </w:p>
    <w:p w14:paraId="166F8FD8" w14:textId="3AEFBDFE" w:rsidR="0006021B" w:rsidRDefault="0006021B" w:rsidP="00053D2F">
      <w:pPr>
        <w:pStyle w:val="ListParagraph"/>
        <w:numPr>
          <w:ilvl w:val="0"/>
          <w:numId w:val="15"/>
        </w:numPr>
        <w:tabs>
          <w:tab w:val="left" w:pos="8460"/>
        </w:tabs>
      </w:pPr>
      <w:r>
        <w:t xml:space="preserve">X: </w:t>
      </w:r>
      <w:hyperlink r:id="rId15" w:history="1">
        <w:r w:rsidRPr="0006021B">
          <w:rPr>
            <w:rStyle w:val="Hyperlink"/>
          </w:rPr>
          <w:t>@DisabilityRightsFund</w:t>
        </w:r>
      </w:hyperlink>
      <w:r>
        <w:tab/>
      </w:r>
    </w:p>
    <w:p w14:paraId="414D0EF8" w14:textId="00CE1FC2" w:rsidR="0006021B" w:rsidRPr="0006021B" w:rsidRDefault="0006021B" w:rsidP="00053D2F">
      <w:pPr>
        <w:pStyle w:val="ListParagraph"/>
        <w:numPr>
          <w:ilvl w:val="0"/>
          <w:numId w:val="15"/>
        </w:numPr>
      </w:pPr>
      <w:r>
        <w:t xml:space="preserve">LinkedIn: </w:t>
      </w:r>
      <w:hyperlink r:id="rId16" w:history="1">
        <w:r w:rsidRPr="0006021B">
          <w:rPr>
            <w:rStyle w:val="Hyperlink"/>
          </w:rPr>
          <w:t>disability-rights-fund</w:t>
        </w:r>
      </w:hyperlink>
    </w:p>
    <w:p w14:paraId="7AC8652D" w14:textId="3799D055" w:rsidR="0006021B" w:rsidRPr="0006021B" w:rsidRDefault="0006021B" w:rsidP="0006021B">
      <w:pPr>
        <w:spacing w:after="0"/>
      </w:pPr>
      <w:r w:rsidRPr="0006021B">
        <w:t>The Disability Rights Fund is a 501c3 organization, EIN 27-5026293.</w:t>
      </w:r>
    </w:p>
    <w:p w14:paraId="7BC79FCB" w14:textId="74DE6249" w:rsidR="0006021B" w:rsidRDefault="0006021B" w:rsidP="0006021B">
      <w:pPr>
        <w:spacing w:after="0"/>
      </w:pPr>
      <w:r w:rsidRPr="0006021B">
        <w:t>The Disability Rights Advocacy Fund is a 501c4 organization, EIN 27-5026463.</w:t>
      </w:r>
    </w:p>
    <w:p w14:paraId="55E4B308" w14:textId="77777777" w:rsidR="0006021B" w:rsidRPr="0006021B" w:rsidRDefault="0006021B" w:rsidP="0006021B">
      <w:pPr>
        <w:spacing w:after="0"/>
      </w:pPr>
      <w:r w:rsidRPr="0006021B">
        <w:t>Platinum Transparency 2025, Candid</w:t>
      </w:r>
    </w:p>
    <w:p w14:paraId="67DF7C57" w14:textId="77777777" w:rsidR="0006021B" w:rsidRPr="0006021B" w:rsidRDefault="0006021B" w:rsidP="0006021B"/>
    <w:p w14:paraId="1104672E" w14:textId="77777777" w:rsidR="0006021B" w:rsidRPr="004A6057" w:rsidRDefault="0006021B" w:rsidP="004A6057"/>
    <w:p w14:paraId="21E600B1" w14:textId="77777777" w:rsidR="004A6057" w:rsidRPr="004A6057" w:rsidRDefault="004A6057" w:rsidP="004A6057"/>
    <w:p w14:paraId="135B234A" w14:textId="77777777" w:rsidR="004A6057" w:rsidRPr="004A6057" w:rsidRDefault="004A6057" w:rsidP="004A6057"/>
    <w:p w14:paraId="1D3B3C2F" w14:textId="4B46DF7E" w:rsidR="00093EDB" w:rsidRDefault="00093EDB"/>
    <w:sectPr w:rsidR="00093EDB" w:rsidSect="00053D2F">
      <w:footerReference w:type="default" r:id="rId17"/>
      <w:pgSz w:w="12240" w:h="15840"/>
      <w:pgMar w:top="99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22B4" w14:textId="77777777" w:rsidR="0097404F" w:rsidRDefault="0097404F" w:rsidP="00361966">
      <w:pPr>
        <w:spacing w:after="0" w:line="240" w:lineRule="auto"/>
      </w:pPr>
      <w:r>
        <w:separator/>
      </w:r>
    </w:p>
  </w:endnote>
  <w:endnote w:type="continuationSeparator" w:id="0">
    <w:p w14:paraId="0D359013" w14:textId="77777777" w:rsidR="0097404F" w:rsidRDefault="0097404F" w:rsidP="0036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Lexend">
    <w:panose1 w:val="00000000000000000000"/>
    <w:charset w:val="4D"/>
    <w:family w:val="auto"/>
    <w:pitch w:val="variable"/>
    <w:sig w:usb0="A00000FF" w:usb1="4000205B" w:usb2="00000000" w:usb3="00000000" w:csb0="000001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F055" w14:textId="77777777" w:rsidR="00361966" w:rsidRDefault="00361966" w:rsidP="00361966">
    <w:pPr>
      <w:spacing w:after="0"/>
      <w:rPr>
        <w:sz w:val="20"/>
        <w:szCs w:val="20"/>
      </w:rPr>
    </w:pPr>
  </w:p>
  <w:p w14:paraId="0E799745" w14:textId="4B2EDE33" w:rsidR="00361966" w:rsidRPr="00361966" w:rsidRDefault="00361966" w:rsidP="00361966">
    <w:pPr>
      <w:spacing w:after="0"/>
      <w:rPr>
        <w:sz w:val="20"/>
        <w:szCs w:val="20"/>
      </w:rPr>
    </w:pPr>
    <w:r w:rsidRPr="00361966">
      <w:rPr>
        <w:sz w:val="20"/>
        <w:szCs w:val="20"/>
      </w:rPr>
      <w:t>Disability Rights Fund and Disability Advocacy Fund 2024 Annual Report</w:t>
    </w:r>
    <w:r w:rsidRPr="00361966">
      <w:rPr>
        <w:sz w:val="20"/>
        <w:szCs w:val="20"/>
      </w:rPr>
      <w:tab/>
    </w:r>
    <w:r w:rsidRPr="00361966">
      <w:rPr>
        <w:sz w:val="20"/>
        <w:szCs w:val="20"/>
      </w:rPr>
      <w:tab/>
    </w:r>
    <w:r w:rsidR="00480D83">
      <w:rPr>
        <w:sz w:val="20"/>
        <w:szCs w:val="20"/>
      </w:rPr>
      <w:t xml:space="preserve">    </w:t>
    </w:r>
    <w:r w:rsidRPr="00361966">
      <w:rPr>
        <w:sz w:val="20"/>
        <w:szCs w:val="20"/>
      </w:rPr>
      <w:tab/>
      <w:t xml:space="preserve">         </w:t>
    </w:r>
    <w:r w:rsidR="00480D83">
      <w:rPr>
        <w:sz w:val="20"/>
        <w:szCs w:val="20"/>
      </w:rPr>
      <w:t xml:space="preserve">           </w:t>
    </w:r>
    <w:r w:rsidRPr="00361966">
      <w:rPr>
        <w:sz w:val="20"/>
        <w:szCs w:val="20"/>
      </w:rPr>
      <w:t xml:space="preserve"> </w:t>
    </w:r>
    <w:sdt>
      <w:sdtPr>
        <w:rPr>
          <w:sz w:val="20"/>
          <w:szCs w:val="20"/>
        </w:rPr>
        <w:id w:val="-1132090919"/>
        <w:docPartObj>
          <w:docPartGallery w:val="Page Numbers (Bottom of Page)"/>
          <w:docPartUnique/>
        </w:docPartObj>
      </w:sdtPr>
      <w:sdtEndPr>
        <w:rPr>
          <w:noProof/>
        </w:rPr>
      </w:sdtEndPr>
      <w:sdtContent>
        <w:r w:rsidRPr="00361966">
          <w:rPr>
            <w:sz w:val="20"/>
            <w:szCs w:val="20"/>
          </w:rPr>
          <w:fldChar w:fldCharType="begin"/>
        </w:r>
        <w:r w:rsidRPr="00361966">
          <w:rPr>
            <w:sz w:val="20"/>
            <w:szCs w:val="20"/>
          </w:rPr>
          <w:instrText xml:space="preserve"> PAGE   \* MERGEFORMAT </w:instrText>
        </w:r>
        <w:r w:rsidRPr="00361966">
          <w:rPr>
            <w:sz w:val="20"/>
            <w:szCs w:val="20"/>
          </w:rPr>
          <w:fldChar w:fldCharType="separate"/>
        </w:r>
        <w:r w:rsidRPr="00361966">
          <w:rPr>
            <w:noProof/>
            <w:sz w:val="20"/>
            <w:szCs w:val="20"/>
          </w:rPr>
          <w:t>2</w:t>
        </w:r>
        <w:r w:rsidRPr="00361966">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5770" w14:textId="77777777" w:rsidR="0097404F" w:rsidRDefault="0097404F" w:rsidP="00361966">
      <w:pPr>
        <w:spacing w:after="0" w:line="240" w:lineRule="auto"/>
      </w:pPr>
      <w:r>
        <w:separator/>
      </w:r>
    </w:p>
  </w:footnote>
  <w:footnote w:type="continuationSeparator" w:id="0">
    <w:p w14:paraId="286039E9" w14:textId="77777777" w:rsidR="0097404F" w:rsidRDefault="0097404F" w:rsidP="00361966">
      <w:pPr>
        <w:spacing w:after="0" w:line="240" w:lineRule="auto"/>
      </w:pPr>
      <w:r>
        <w:continuationSeparator/>
      </w:r>
    </w:p>
  </w:footnote>
  <w:footnote w:id="1">
    <w:p w14:paraId="324E66BD" w14:textId="34F9A1EB" w:rsidR="00AC7DEB" w:rsidRDefault="00AC7DEB">
      <w:pPr>
        <w:pStyle w:val="FootnoteText"/>
      </w:pPr>
      <w:r>
        <w:rPr>
          <w:rStyle w:val="FootnoteReference"/>
        </w:rPr>
        <w:footnoteRef/>
      </w:r>
      <w:r>
        <w:t xml:space="preserve"> </w:t>
      </w:r>
      <w:r w:rsidRPr="00AC7DEB">
        <w:t>This grant was terminated effective March 7, 2025. We appreciate the DRL team’s support throughout our grant.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0C7D"/>
    <w:multiLevelType w:val="hybridMultilevel"/>
    <w:tmpl w:val="A23E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20924"/>
    <w:multiLevelType w:val="hybridMultilevel"/>
    <w:tmpl w:val="C07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1551F"/>
    <w:multiLevelType w:val="hybridMultilevel"/>
    <w:tmpl w:val="A926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415C0"/>
    <w:multiLevelType w:val="hybridMultilevel"/>
    <w:tmpl w:val="335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735EF"/>
    <w:multiLevelType w:val="hybridMultilevel"/>
    <w:tmpl w:val="87C8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575DA"/>
    <w:multiLevelType w:val="hybridMultilevel"/>
    <w:tmpl w:val="1004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9230E"/>
    <w:multiLevelType w:val="hybridMultilevel"/>
    <w:tmpl w:val="95E0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C2827"/>
    <w:multiLevelType w:val="hybridMultilevel"/>
    <w:tmpl w:val="1698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F1D9F"/>
    <w:multiLevelType w:val="hybridMultilevel"/>
    <w:tmpl w:val="2D72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71C3C"/>
    <w:multiLevelType w:val="hybridMultilevel"/>
    <w:tmpl w:val="C504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287B55"/>
    <w:multiLevelType w:val="hybridMultilevel"/>
    <w:tmpl w:val="5DAE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D75A31"/>
    <w:multiLevelType w:val="hybridMultilevel"/>
    <w:tmpl w:val="C8E4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B2F60"/>
    <w:multiLevelType w:val="hybridMultilevel"/>
    <w:tmpl w:val="5B2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E0EBC"/>
    <w:multiLevelType w:val="hybridMultilevel"/>
    <w:tmpl w:val="67408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F15F78"/>
    <w:multiLevelType w:val="hybridMultilevel"/>
    <w:tmpl w:val="6E28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292722">
    <w:abstractNumId w:val="2"/>
  </w:num>
  <w:num w:numId="2" w16cid:durableId="565917671">
    <w:abstractNumId w:val="9"/>
  </w:num>
  <w:num w:numId="3" w16cid:durableId="1843809905">
    <w:abstractNumId w:val="4"/>
  </w:num>
  <w:num w:numId="4" w16cid:durableId="414015408">
    <w:abstractNumId w:val="3"/>
  </w:num>
  <w:num w:numId="5" w16cid:durableId="1076126851">
    <w:abstractNumId w:val="13"/>
  </w:num>
  <w:num w:numId="6" w16cid:durableId="360204034">
    <w:abstractNumId w:val="8"/>
  </w:num>
  <w:num w:numId="7" w16cid:durableId="1071006459">
    <w:abstractNumId w:val="6"/>
  </w:num>
  <w:num w:numId="8" w16cid:durableId="1454982655">
    <w:abstractNumId w:val="1"/>
  </w:num>
  <w:num w:numId="9" w16cid:durableId="653488498">
    <w:abstractNumId w:val="10"/>
  </w:num>
  <w:num w:numId="10" w16cid:durableId="288515854">
    <w:abstractNumId w:val="7"/>
  </w:num>
  <w:num w:numId="11" w16cid:durableId="730923620">
    <w:abstractNumId w:val="11"/>
  </w:num>
  <w:num w:numId="12" w16cid:durableId="1077945051">
    <w:abstractNumId w:val="12"/>
  </w:num>
  <w:num w:numId="13" w16cid:durableId="462575816">
    <w:abstractNumId w:val="5"/>
  </w:num>
  <w:num w:numId="14" w16cid:durableId="550655178">
    <w:abstractNumId w:val="0"/>
  </w:num>
  <w:num w:numId="15" w16cid:durableId="1591350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4C"/>
    <w:rsid w:val="00003600"/>
    <w:rsid w:val="00022D2B"/>
    <w:rsid w:val="00053D2F"/>
    <w:rsid w:val="0006021B"/>
    <w:rsid w:val="00093EDB"/>
    <w:rsid w:val="001077C9"/>
    <w:rsid w:val="001742C4"/>
    <w:rsid w:val="001B020E"/>
    <w:rsid w:val="002406BC"/>
    <w:rsid w:val="002B634C"/>
    <w:rsid w:val="002D71FD"/>
    <w:rsid w:val="00361966"/>
    <w:rsid w:val="003D1D7E"/>
    <w:rsid w:val="00433AEE"/>
    <w:rsid w:val="00480D83"/>
    <w:rsid w:val="004A6057"/>
    <w:rsid w:val="004E7342"/>
    <w:rsid w:val="00565EB9"/>
    <w:rsid w:val="00585375"/>
    <w:rsid w:val="006770F2"/>
    <w:rsid w:val="00826E0F"/>
    <w:rsid w:val="009079CA"/>
    <w:rsid w:val="0097404F"/>
    <w:rsid w:val="009A4EAA"/>
    <w:rsid w:val="00A11FE4"/>
    <w:rsid w:val="00AC7DEB"/>
    <w:rsid w:val="00B03F01"/>
    <w:rsid w:val="00BC0734"/>
    <w:rsid w:val="00BC791F"/>
    <w:rsid w:val="00CC44F6"/>
    <w:rsid w:val="00DE76EB"/>
    <w:rsid w:val="00E4123C"/>
    <w:rsid w:val="00F92B59"/>
    <w:rsid w:val="00FE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6224"/>
  <w15:chartTrackingRefBased/>
  <w15:docId w15:val="{E1D9DCE4-2338-4140-BF24-6CE610F1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D83"/>
    <w:rPr>
      <w:rFonts w:ascii="Lexend" w:hAnsi="Lexend"/>
    </w:rPr>
  </w:style>
  <w:style w:type="paragraph" w:styleId="Heading1">
    <w:name w:val="heading 1"/>
    <w:basedOn w:val="Normal"/>
    <w:next w:val="Normal"/>
    <w:link w:val="Heading1Char"/>
    <w:uiPriority w:val="9"/>
    <w:qFormat/>
    <w:rsid w:val="00480D83"/>
    <w:pPr>
      <w:keepNext/>
      <w:keepLines/>
      <w:spacing w:before="360" w:after="80"/>
      <w:outlineLvl w:val="0"/>
    </w:pPr>
    <w:rPr>
      <w:rFonts w:eastAsiaTheme="majorEastAsia" w:cstheme="majorBidi"/>
      <w:b/>
      <w:color w:val="000000" w:themeColor="text1"/>
      <w:sz w:val="40"/>
      <w:szCs w:val="40"/>
    </w:rPr>
  </w:style>
  <w:style w:type="paragraph" w:styleId="Heading2">
    <w:name w:val="heading 2"/>
    <w:basedOn w:val="Normal"/>
    <w:next w:val="Normal"/>
    <w:link w:val="Heading2Char"/>
    <w:uiPriority w:val="9"/>
    <w:unhideWhenUsed/>
    <w:qFormat/>
    <w:rsid w:val="00480D83"/>
    <w:pPr>
      <w:keepNext/>
      <w:keepLines/>
      <w:spacing w:before="280" w:after="20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480D83"/>
    <w:pPr>
      <w:keepNext/>
      <w:keepLines/>
      <w:spacing w:before="280" w:after="200"/>
      <w:outlineLvl w:val="2"/>
    </w:pPr>
    <w:rPr>
      <w:rFonts w:eastAsiaTheme="majorEastAsia" w:cstheme="majorBidi"/>
      <w:b/>
      <w:color w:val="000000" w:themeColor="text1"/>
      <w:sz w:val="26"/>
      <w:szCs w:val="28"/>
    </w:rPr>
  </w:style>
  <w:style w:type="paragraph" w:styleId="Heading4">
    <w:name w:val="heading 4"/>
    <w:basedOn w:val="Normal"/>
    <w:next w:val="Normal"/>
    <w:link w:val="Heading4Char"/>
    <w:uiPriority w:val="9"/>
    <w:unhideWhenUsed/>
    <w:qFormat/>
    <w:rsid w:val="00480D83"/>
    <w:pPr>
      <w:keepNext/>
      <w:keepLines/>
      <w:spacing w:before="80" w:after="4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semiHidden/>
    <w:unhideWhenUsed/>
    <w:qFormat/>
    <w:rsid w:val="002B6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83"/>
    <w:rPr>
      <w:rFonts w:ascii="Lexend" w:eastAsiaTheme="majorEastAsia" w:hAnsi="Lexend" w:cstheme="majorBidi"/>
      <w:b/>
      <w:color w:val="000000" w:themeColor="text1"/>
      <w:sz w:val="40"/>
      <w:szCs w:val="40"/>
    </w:rPr>
  </w:style>
  <w:style w:type="character" w:customStyle="1" w:styleId="Heading2Char">
    <w:name w:val="Heading 2 Char"/>
    <w:basedOn w:val="DefaultParagraphFont"/>
    <w:link w:val="Heading2"/>
    <w:uiPriority w:val="9"/>
    <w:rsid w:val="00480D83"/>
    <w:rPr>
      <w:rFonts w:ascii="Lexend" w:eastAsiaTheme="majorEastAsia" w:hAnsi="Lexend" w:cstheme="majorBidi"/>
      <w:b/>
      <w:color w:val="000000" w:themeColor="text1"/>
      <w:sz w:val="28"/>
      <w:szCs w:val="32"/>
    </w:rPr>
  </w:style>
  <w:style w:type="character" w:customStyle="1" w:styleId="Heading3Char">
    <w:name w:val="Heading 3 Char"/>
    <w:basedOn w:val="DefaultParagraphFont"/>
    <w:link w:val="Heading3"/>
    <w:uiPriority w:val="9"/>
    <w:rsid w:val="00480D83"/>
    <w:rPr>
      <w:rFonts w:ascii="Lexend" w:eastAsiaTheme="majorEastAsia" w:hAnsi="Lexend" w:cstheme="majorBidi"/>
      <w:b/>
      <w:color w:val="000000" w:themeColor="text1"/>
      <w:sz w:val="26"/>
      <w:szCs w:val="28"/>
    </w:rPr>
  </w:style>
  <w:style w:type="character" w:customStyle="1" w:styleId="Heading4Char">
    <w:name w:val="Heading 4 Char"/>
    <w:basedOn w:val="DefaultParagraphFont"/>
    <w:link w:val="Heading4"/>
    <w:uiPriority w:val="9"/>
    <w:rsid w:val="00480D83"/>
    <w:rPr>
      <w:rFonts w:ascii="Lexend" w:eastAsiaTheme="majorEastAsia" w:hAnsi="Lexend" w:cstheme="majorBidi"/>
      <w:b/>
      <w:i/>
      <w:iCs/>
      <w:color w:val="000000" w:themeColor="text1"/>
    </w:rPr>
  </w:style>
  <w:style w:type="character" w:customStyle="1" w:styleId="Heading5Char">
    <w:name w:val="Heading 5 Char"/>
    <w:basedOn w:val="DefaultParagraphFont"/>
    <w:link w:val="Heading5"/>
    <w:uiPriority w:val="9"/>
    <w:semiHidden/>
    <w:rsid w:val="002B6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34C"/>
    <w:rPr>
      <w:rFonts w:eastAsiaTheme="majorEastAsia" w:cstheme="majorBidi"/>
      <w:color w:val="272727" w:themeColor="text1" w:themeTint="D8"/>
    </w:rPr>
  </w:style>
  <w:style w:type="paragraph" w:styleId="Title">
    <w:name w:val="Title"/>
    <w:basedOn w:val="Normal"/>
    <w:next w:val="Normal"/>
    <w:link w:val="TitleChar"/>
    <w:uiPriority w:val="10"/>
    <w:qFormat/>
    <w:rsid w:val="002B6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9"/>
    <w:qFormat/>
    <w:rsid w:val="002B634C"/>
    <w:pPr>
      <w:spacing w:before="160"/>
      <w:jc w:val="center"/>
    </w:pPr>
    <w:rPr>
      <w:i/>
      <w:iCs/>
      <w:color w:val="404040" w:themeColor="text1" w:themeTint="BF"/>
    </w:rPr>
  </w:style>
  <w:style w:type="character" w:customStyle="1" w:styleId="QuoteChar">
    <w:name w:val="Quote Char"/>
    <w:basedOn w:val="DefaultParagraphFont"/>
    <w:link w:val="Quote"/>
    <w:uiPriority w:val="29"/>
    <w:rsid w:val="002B634C"/>
    <w:rPr>
      <w:i/>
      <w:iCs/>
      <w:color w:val="404040" w:themeColor="text1" w:themeTint="BF"/>
    </w:rPr>
  </w:style>
  <w:style w:type="paragraph" w:styleId="ListParagraph">
    <w:name w:val="List Paragraph"/>
    <w:basedOn w:val="Normal"/>
    <w:uiPriority w:val="34"/>
    <w:qFormat/>
    <w:rsid w:val="002B634C"/>
    <w:pPr>
      <w:ind w:left="720"/>
      <w:contextualSpacing/>
    </w:pPr>
  </w:style>
  <w:style w:type="character" w:styleId="IntenseEmphasis">
    <w:name w:val="Intense Emphasis"/>
    <w:basedOn w:val="DefaultParagraphFont"/>
    <w:uiPriority w:val="21"/>
    <w:qFormat/>
    <w:rsid w:val="002B634C"/>
    <w:rPr>
      <w:i/>
      <w:iCs/>
      <w:color w:val="0F4761" w:themeColor="accent1" w:themeShade="BF"/>
    </w:rPr>
  </w:style>
  <w:style w:type="paragraph" w:styleId="IntenseQuote">
    <w:name w:val="Intense Quote"/>
    <w:basedOn w:val="Normal"/>
    <w:next w:val="Normal"/>
    <w:link w:val="IntenseQuoteChar"/>
    <w:uiPriority w:val="30"/>
    <w:qFormat/>
    <w:rsid w:val="002B6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34C"/>
    <w:rPr>
      <w:i/>
      <w:iCs/>
      <w:color w:val="0F4761" w:themeColor="accent1" w:themeShade="BF"/>
    </w:rPr>
  </w:style>
  <w:style w:type="character" w:styleId="IntenseReference">
    <w:name w:val="Intense Reference"/>
    <w:basedOn w:val="DefaultParagraphFont"/>
    <w:uiPriority w:val="32"/>
    <w:qFormat/>
    <w:rsid w:val="002B634C"/>
    <w:rPr>
      <w:b/>
      <w:bCs/>
      <w:smallCaps/>
      <w:color w:val="0F4761" w:themeColor="accent1" w:themeShade="BF"/>
      <w:spacing w:val="5"/>
    </w:rPr>
  </w:style>
  <w:style w:type="paragraph" w:customStyle="1" w:styleId="H2Sub">
    <w:name w:val="H2 Sub"/>
    <w:basedOn w:val="Normal"/>
    <w:uiPriority w:val="99"/>
    <w:rsid w:val="00361966"/>
    <w:pPr>
      <w:suppressAutoHyphens/>
      <w:autoSpaceDE w:val="0"/>
      <w:autoSpaceDN w:val="0"/>
      <w:adjustRightInd w:val="0"/>
      <w:spacing w:before="278" w:after="90" w:line="780" w:lineRule="atLeast"/>
      <w:textAlignment w:val="center"/>
    </w:pPr>
    <w:rPr>
      <w:rFonts w:cs="Lexend"/>
      <w:b/>
      <w:bCs/>
      <w:color w:val="FFFFFF"/>
      <w:kern w:val="0"/>
      <w:sz w:val="22"/>
      <w:szCs w:val="22"/>
    </w:rPr>
  </w:style>
  <w:style w:type="paragraph" w:styleId="Header">
    <w:name w:val="header"/>
    <w:basedOn w:val="Normal"/>
    <w:link w:val="HeaderChar"/>
    <w:uiPriority w:val="99"/>
    <w:unhideWhenUsed/>
    <w:rsid w:val="00361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966"/>
  </w:style>
  <w:style w:type="paragraph" w:styleId="Footer">
    <w:name w:val="footer"/>
    <w:basedOn w:val="Normal"/>
    <w:link w:val="FooterChar"/>
    <w:uiPriority w:val="99"/>
    <w:unhideWhenUsed/>
    <w:rsid w:val="00361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966"/>
  </w:style>
  <w:style w:type="paragraph" w:customStyle="1" w:styleId="BasicParagraph">
    <w:name w:val="[Basic Paragraph]"/>
    <w:basedOn w:val="Normal"/>
    <w:uiPriority w:val="99"/>
    <w:rsid w:val="00433AEE"/>
    <w:pPr>
      <w:suppressAutoHyphens/>
      <w:autoSpaceDE w:val="0"/>
      <w:autoSpaceDN w:val="0"/>
      <w:adjustRightInd w:val="0"/>
      <w:spacing w:before="90" w:after="90" w:line="290" w:lineRule="atLeast"/>
      <w:textAlignment w:val="center"/>
    </w:pPr>
    <w:rPr>
      <w:rFonts w:cs="Lexend"/>
      <w:color w:val="000000"/>
      <w:kern w:val="0"/>
      <w:sz w:val="22"/>
      <w:szCs w:val="22"/>
    </w:rPr>
  </w:style>
  <w:style w:type="paragraph" w:styleId="FootnoteText">
    <w:name w:val="footnote text"/>
    <w:basedOn w:val="Normal"/>
    <w:link w:val="FootnoteTextChar"/>
    <w:uiPriority w:val="99"/>
    <w:semiHidden/>
    <w:unhideWhenUsed/>
    <w:rsid w:val="00AC7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DEB"/>
    <w:rPr>
      <w:sz w:val="20"/>
      <w:szCs w:val="20"/>
    </w:rPr>
  </w:style>
  <w:style w:type="character" w:styleId="FootnoteReference">
    <w:name w:val="footnote reference"/>
    <w:basedOn w:val="DefaultParagraphFont"/>
    <w:uiPriority w:val="99"/>
    <w:semiHidden/>
    <w:unhideWhenUsed/>
    <w:rsid w:val="00AC7DEB"/>
    <w:rPr>
      <w:vertAlign w:val="superscript"/>
    </w:rPr>
  </w:style>
  <w:style w:type="character" w:styleId="Hyperlink">
    <w:name w:val="Hyperlink"/>
    <w:basedOn w:val="DefaultParagraphFont"/>
    <w:uiPriority w:val="99"/>
    <w:unhideWhenUsed/>
    <w:rsid w:val="00AC7DEB"/>
    <w:rPr>
      <w:color w:val="467886" w:themeColor="hyperlink"/>
      <w:u w:val="single"/>
    </w:rPr>
  </w:style>
  <w:style w:type="character" w:styleId="UnresolvedMention">
    <w:name w:val="Unresolved Mention"/>
    <w:basedOn w:val="DefaultParagraphFont"/>
    <w:uiPriority w:val="99"/>
    <w:semiHidden/>
    <w:unhideWhenUsed/>
    <w:rsid w:val="00AC7DEB"/>
    <w:rPr>
      <w:color w:val="605E5C"/>
      <w:shd w:val="clear" w:color="auto" w:fill="E1DFDD"/>
    </w:rPr>
  </w:style>
  <w:style w:type="table" w:styleId="TableGrid">
    <w:name w:val="Table Grid"/>
    <w:basedOn w:val="TableNormal"/>
    <w:uiPriority w:val="39"/>
    <w:rsid w:val="009A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rightsfund.org/our-donors/" TargetMode="External"/><Relationship Id="rId13" Type="http://schemas.openxmlformats.org/officeDocument/2006/relationships/hyperlink" Target="https://www.facebook.com/disabilityrightsfun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isabilityrightsfun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inkedin.com/company/disability-rights-f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afund.org" TargetMode="External"/><Relationship Id="rId5" Type="http://schemas.openxmlformats.org/officeDocument/2006/relationships/webSettings" Target="webSettings.xml"/><Relationship Id="rId15" Type="http://schemas.openxmlformats.org/officeDocument/2006/relationships/hyperlink" Target="https://x.com/DisabRightsFund" TargetMode="External"/><Relationship Id="rId10" Type="http://schemas.openxmlformats.org/officeDocument/2006/relationships/hyperlink" Target="http://www.disabilityrightsfun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tps://disabilityrightsfund.org/unleashing-the-power-of-disability-rights-movements-in-the-global-south/" TargetMode="External"/><Relationship Id="rId14" Type="http://schemas.openxmlformats.org/officeDocument/2006/relationships/hyperlink" Target="https://www.instagram.com/disabilityright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E2ECF-4493-4604-9AA9-40E1FF3D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Schloesser</dc:creator>
  <cp:keywords/>
  <dc:description/>
  <cp:lastModifiedBy>Rucha Chitnis</cp:lastModifiedBy>
  <cp:revision>2</cp:revision>
  <dcterms:created xsi:type="dcterms:W3CDTF">2025-09-30T15:07:00Z</dcterms:created>
  <dcterms:modified xsi:type="dcterms:W3CDTF">2025-09-30T15:07:00Z</dcterms:modified>
</cp:coreProperties>
</file>