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E672A" w:rsidRDefault="00CE672A" w14:paraId="2015F2EA" w14:textId="77777777">
      <w:pPr>
        <w:spacing w:after="80"/>
        <w:jc w:val="center"/>
        <w:rPr>
          <w:b/>
          <w:bCs/>
          <w:sz w:val="30"/>
          <w:szCs w:val="30"/>
        </w:rPr>
      </w:pPr>
      <w:r>
        <w:rPr>
          <w:noProof/>
        </w:rPr>
        <w:drawing>
          <wp:inline distT="0" distB="0" distL="0" distR="0" wp14:anchorId="4817E367" wp14:editId="269659CB">
            <wp:extent cx="1720215" cy="652145"/>
            <wp:effectExtent l="0" t="0" r="0" b="0"/>
            <wp:docPr id="1067036119" name="Picture 1" descr="Disability Rights Fund logo i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ility Rights Fund logo in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215" cy="652145"/>
                    </a:xfrm>
                    <a:prstGeom prst="rect">
                      <a:avLst/>
                    </a:prstGeom>
                    <a:noFill/>
                    <a:ln>
                      <a:noFill/>
                    </a:ln>
                  </pic:spPr>
                </pic:pic>
              </a:graphicData>
            </a:graphic>
          </wp:inline>
        </w:drawing>
      </w:r>
    </w:p>
    <w:p w:rsidRPr="005A79F4" w:rsidR="007B658D" w:rsidP="55049CAB" w:rsidRDefault="00000000" w14:paraId="06E9258E" w14:textId="6CF8D721">
      <w:pPr>
        <w:keepNext w:val="0"/>
        <w:keepLines w:val="0"/>
        <w:spacing w:before="240" w:beforeAutospacing="off" w:after="0" w:afterAutospacing="off"/>
        <w:jc w:val="center"/>
        <w:rPr>
          <w:b w:val="1"/>
          <w:bCs w:val="1"/>
        </w:rPr>
      </w:pPr>
      <w:r w:rsidRPr="55049CAB" w:rsidR="3DD368D3">
        <w:rPr>
          <w:b w:val="1"/>
          <w:bCs w:val="1"/>
          <w:sz w:val="30"/>
          <w:szCs w:val="30"/>
        </w:rPr>
        <w:t>2026 Annual Grantee Survey</w:t>
      </w:r>
      <w:r w:rsidR="362A4648">
        <w:rPr/>
        <w:t xml:space="preserve"> </w:t>
      </w:r>
      <w:r w:rsidRPr="55049CAB" w:rsidR="5C9F0F9F">
        <w:rPr>
          <w:b w:val="1"/>
          <w:bCs w:val="1"/>
          <w:sz w:val="28"/>
          <w:szCs w:val="28"/>
        </w:rPr>
        <w:t xml:space="preserve">Partner </w:t>
      </w:r>
      <w:r w:rsidRPr="55049CAB" w:rsidR="3DD368D3">
        <w:rPr>
          <w:b w:val="1"/>
          <w:bCs w:val="1"/>
          <w:sz w:val="28"/>
          <w:szCs w:val="28"/>
        </w:rPr>
        <w:t>Feedback Report</w:t>
      </w:r>
    </w:p>
    <w:sdt>
      <w:sdtPr>
        <w:id w:val="423459172"/>
        <w:docPartObj>
          <w:docPartGallery w:val="Table of Contents"/>
          <w:docPartUnique/>
        </w:docPartObj>
      </w:sdtPr>
      <w:sdtEndPr>
        <w:rPr>
          <w:rFonts w:ascii="Arial" w:hAnsi="Arial" w:eastAsia="Arial" w:cs="Arial"/>
          <w:noProof/>
          <w:color w:val="1A1A1A"/>
          <w:sz w:val="2"/>
          <w:szCs w:val="2"/>
        </w:rPr>
      </w:sdtEndPr>
      <w:sdtContent>
        <w:p w:rsidRPr="002A3444" w:rsidR="002A3444" w:rsidP="55049CAB" w:rsidRDefault="002A3444" w14:paraId="534464D3" w14:textId="15B6B2CB">
          <w:pPr>
            <w:pStyle w:val="TOCHeading"/>
            <w:keepNext w:val="0"/>
            <w:keepLines w:val="0"/>
            <w:spacing w:before="240" w:beforeAutospacing="off"/>
            <w:rPr>
              <w:rFonts w:ascii="Arial" w:hAnsi="Arial" w:eastAsia="Arial" w:cs="Arial"/>
              <w:color w:val="1B5E7B"/>
            </w:rPr>
          </w:pPr>
          <w:r w:rsidR="5C98A9CB">
            <w:rPr/>
            <w:t>Table of Contents</w:t>
          </w:r>
        </w:p>
        <w:p w:rsidR="00684F48" w:rsidP="55049CAB" w:rsidRDefault="002A3444" w14:paraId="0C8E9703" w14:textId="2BE52D1B">
          <w:pPr>
            <w:pStyle w:val="TOC1"/>
            <w:tabs>
              <w:tab w:val="right" w:leader="dot" w:pos="9345"/>
            </w:tabs>
            <w:rPr>
              <w:rFonts w:eastAsia="" w:cs="" w:eastAsiaTheme="minorEastAsia" w:cstheme="minorBidi"/>
              <w:b w:val="0"/>
              <w:bCs w:val="0"/>
              <w:i w:val="0"/>
              <w:iCs w:val="0"/>
              <w:noProof/>
              <w:color w:val="auto"/>
            </w:rPr>
          </w:pPr>
          <w:r>
            <w:fldChar w:fldCharType="begin"/>
          </w:r>
          <w:r>
            <w:instrText xml:space="preserve">TOC \o "1-3" \z \u \h</w:instrText>
          </w:r>
          <w:r>
            <w:fldChar w:fldCharType="separate"/>
          </w:r>
          <w:hyperlink w:anchor="_Toc1927607178">
            <w:r w:rsidRPr="55049CAB" w:rsidR="55049CAB">
              <w:rPr>
                <w:rStyle w:val="Hyperlink"/>
              </w:rPr>
              <w:t>What is in this Report</w:t>
            </w:r>
            <w:r>
              <w:tab/>
            </w:r>
            <w:r>
              <w:fldChar w:fldCharType="begin"/>
            </w:r>
            <w:r>
              <w:instrText xml:space="preserve">PAGEREF _Toc1927607178 \h</w:instrText>
            </w:r>
            <w:r>
              <w:fldChar w:fldCharType="separate"/>
            </w:r>
            <w:r w:rsidRPr="55049CAB" w:rsidR="55049CAB">
              <w:rPr>
                <w:rStyle w:val="Hyperlink"/>
              </w:rPr>
              <w:t>1</w:t>
            </w:r>
            <w:r>
              <w:fldChar w:fldCharType="end"/>
            </w:r>
          </w:hyperlink>
        </w:p>
        <w:p w:rsidR="00684F48" w:rsidP="55049CAB" w:rsidRDefault="00684F48" w14:paraId="5543F799" w14:textId="4151D9B1">
          <w:pPr>
            <w:pStyle w:val="TOC1"/>
            <w:tabs>
              <w:tab w:val="right" w:leader="dot" w:pos="9345"/>
            </w:tabs>
            <w:rPr>
              <w:rFonts w:eastAsia="" w:cs="" w:eastAsiaTheme="minorEastAsia" w:cstheme="minorBidi"/>
              <w:b w:val="0"/>
              <w:bCs w:val="0"/>
              <w:i w:val="0"/>
              <w:iCs w:val="0"/>
              <w:noProof/>
              <w:color w:val="auto"/>
            </w:rPr>
          </w:pPr>
          <w:hyperlink w:anchor="_Toc998871036">
            <w:r w:rsidRPr="55049CAB" w:rsidR="55049CAB">
              <w:rPr>
                <w:rStyle w:val="Hyperlink"/>
              </w:rPr>
              <w:t>What the Survey Asked</w:t>
            </w:r>
            <w:r>
              <w:tab/>
            </w:r>
            <w:r>
              <w:fldChar w:fldCharType="begin"/>
            </w:r>
            <w:r>
              <w:instrText xml:space="preserve">PAGEREF _Toc998871036 \h</w:instrText>
            </w:r>
            <w:r>
              <w:fldChar w:fldCharType="separate"/>
            </w:r>
            <w:r w:rsidRPr="55049CAB" w:rsidR="55049CAB">
              <w:rPr>
                <w:rStyle w:val="Hyperlink"/>
              </w:rPr>
              <w:t>1</w:t>
            </w:r>
            <w:r>
              <w:fldChar w:fldCharType="end"/>
            </w:r>
          </w:hyperlink>
        </w:p>
        <w:p w:rsidR="00684F48" w:rsidP="55049CAB" w:rsidRDefault="00684F48" w14:paraId="2B7E9A8D" w14:textId="2C1F752F">
          <w:pPr>
            <w:pStyle w:val="TOC1"/>
            <w:tabs>
              <w:tab w:val="right" w:leader="dot" w:pos="9345"/>
            </w:tabs>
            <w:rPr>
              <w:rFonts w:eastAsia="" w:cs="" w:eastAsiaTheme="minorEastAsia" w:cstheme="minorBidi"/>
              <w:b w:val="0"/>
              <w:bCs w:val="0"/>
              <w:i w:val="0"/>
              <w:iCs w:val="0"/>
              <w:noProof/>
              <w:color w:val="auto"/>
            </w:rPr>
          </w:pPr>
          <w:hyperlink w:anchor="_Toc1528571325">
            <w:r w:rsidRPr="55049CAB" w:rsidR="55049CAB">
              <w:rPr>
                <w:rStyle w:val="Hyperlink"/>
              </w:rPr>
              <w:t>What We Learned</w:t>
            </w:r>
            <w:r>
              <w:tab/>
            </w:r>
            <w:r>
              <w:fldChar w:fldCharType="begin"/>
            </w:r>
            <w:r>
              <w:instrText xml:space="preserve">PAGEREF _Toc1528571325 \h</w:instrText>
            </w:r>
            <w:r>
              <w:fldChar w:fldCharType="separate"/>
            </w:r>
            <w:r w:rsidRPr="55049CAB" w:rsidR="55049CAB">
              <w:rPr>
                <w:rStyle w:val="Hyperlink"/>
              </w:rPr>
              <w:t>1</w:t>
            </w:r>
            <w:r>
              <w:fldChar w:fldCharType="end"/>
            </w:r>
          </w:hyperlink>
        </w:p>
        <w:p w:rsidR="00684F48" w:rsidP="55049CAB" w:rsidRDefault="00684F48" w14:paraId="32FBD144" w14:textId="47DA95A6">
          <w:pPr>
            <w:pStyle w:val="TOC2"/>
            <w:tabs>
              <w:tab w:val="right" w:leader="dot" w:pos="9345"/>
            </w:tabs>
            <w:rPr>
              <w:rFonts w:eastAsia="" w:cs="" w:eastAsiaTheme="minorEastAsia" w:cstheme="minorBidi"/>
              <w:b w:val="0"/>
              <w:bCs w:val="0"/>
              <w:noProof/>
              <w:color w:val="auto"/>
              <w:sz w:val="24"/>
              <w:szCs w:val="24"/>
            </w:rPr>
          </w:pPr>
          <w:hyperlink w:anchor="_Toc2087269541">
            <w:r w:rsidRPr="55049CAB" w:rsidR="55049CAB">
              <w:rPr>
                <w:rStyle w:val="Hyperlink"/>
              </w:rPr>
              <w:t>1.  Individual OPD Growth Feeds the Movement</w:t>
            </w:r>
            <w:r>
              <w:tab/>
            </w:r>
            <w:r>
              <w:fldChar w:fldCharType="begin"/>
            </w:r>
            <w:r>
              <w:instrText xml:space="preserve">PAGEREF _Toc2087269541 \h</w:instrText>
            </w:r>
            <w:r>
              <w:fldChar w:fldCharType="separate"/>
            </w:r>
            <w:r w:rsidRPr="55049CAB" w:rsidR="55049CAB">
              <w:rPr>
                <w:rStyle w:val="Hyperlink"/>
              </w:rPr>
              <w:t>1</w:t>
            </w:r>
            <w:r>
              <w:fldChar w:fldCharType="end"/>
            </w:r>
          </w:hyperlink>
        </w:p>
        <w:p w:rsidR="00684F48" w:rsidP="55049CAB" w:rsidRDefault="00684F48" w14:paraId="0197E078" w14:textId="56C5CEC4">
          <w:pPr>
            <w:pStyle w:val="TOC2"/>
            <w:tabs>
              <w:tab w:val="right" w:leader="dot" w:pos="9345"/>
            </w:tabs>
            <w:rPr>
              <w:rFonts w:eastAsia="" w:cs="" w:eastAsiaTheme="minorEastAsia" w:cstheme="minorBidi"/>
              <w:b w:val="0"/>
              <w:bCs w:val="0"/>
              <w:noProof/>
              <w:color w:val="auto"/>
              <w:sz w:val="24"/>
              <w:szCs w:val="24"/>
            </w:rPr>
          </w:pPr>
          <w:hyperlink w:anchor="_Toc1775528747">
            <w:r w:rsidRPr="55049CAB" w:rsidR="55049CAB">
              <w:rPr>
                <w:rStyle w:val="Hyperlink"/>
              </w:rPr>
              <w:t>2. OPDs Are Deeply Connected</w:t>
            </w:r>
            <w:r>
              <w:tab/>
            </w:r>
            <w:r>
              <w:fldChar w:fldCharType="begin"/>
            </w:r>
            <w:r>
              <w:instrText xml:space="preserve">PAGEREF _Toc1775528747 \h</w:instrText>
            </w:r>
            <w:r>
              <w:fldChar w:fldCharType="separate"/>
            </w:r>
            <w:r w:rsidRPr="55049CAB" w:rsidR="55049CAB">
              <w:rPr>
                <w:rStyle w:val="Hyperlink"/>
              </w:rPr>
              <w:t>2</w:t>
            </w:r>
            <w:r>
              <w:fldChar w:fldCharType="end"/>
            </w:r>
          </w:hyperlink>
        </w:p>
        <w:p w:rsidR="00684F48" w:rsidP="55049CAB" w:rsidRDefault="00684F48" w14:paraId="3A8B0900" w14:textId="62A1D235">
          <w:pPr>
            <w:pStyle w:val="TOC2"/>
            <w:tabs>
              <w:tab w:val="right" w:leader="dot" w:pos="9345"/>
            </w:tabs>
            <w:rPr>
              <w:rFonts w:eastAsia="" w:cs="" w:eastAsiaTheme="minorEastAsia" w:cstheme="minorBidi"/>
              <w:b w:val="0"/>
              <w:bCs w:val="0"/>
              <w:noProof/>
              <w:color w:val="auto"/>
              <w:sz w:val="24"/>
              <w:szCs w:val="24"/>
            </w:rPr>
          </w:pPr>
          <w:hyperlink w:anchor="_Toc1547169330">
            <w:r w:rsidRPr="55049CAB" w:rsidR="55049CAB">
              <w:rPr>
                <w:rStyle w:val="Hyperlink"/>
              </w:rPr>
              <w:t>3. OPDs Share Knowledge Generously</w:t>
            </w:r>
            <w:r>
              <w:tab/>
            </w:r>
            <w:r>
              <w:fldChar w:fldCharType="begin"/>
            </w:r>
            <w:r>
              <w:instrText xml:space="preserve">PAGEREF _Toc1547169330 \h</w:instrText>
            </w:r>
            <w:r>
              <w:fldChar w:fldCharType="separate"/>
            </w:r>
            <w:r w:rsidRPr="55049CAB" w:rsidR="55049CAB">
              <w:rPr>
                <w:rStyle w:val="Hyperlink"/>
              </w:rPr>
              <w:t>2</w:t>
            </w:r>
            <w:r>
              <w:fldChar w:fldCharType="end"/>
            </w:r>
          </w:hyperlink>
        </w:p>
        <w:p w:rsidR="00684F48" w:rsidP="55049CAB" w:rsidRDefault="00684F48" w14:paraId="02E521B1" w14:textId="334E4FE6">
          <w:pPr>
            <w:pStyle w:val="TOC2"/>
            <w:tabs>
              <w:tab w:val="right" w:leader="dot" w:pos="9345"/>
            </w:tabs>
            <w:rPr>
              <w:rFonts w:eastAsia="" w:cs="" w:eastAsiaTheme="minorEastAsia" w:cstheme="minorBidi"/>
              <w:b w:val="0"/>
              <w:bCs w:val="0"/>
              <w:noProof/>
              <w:color w:val="auto"/>
              <w:sz w:val="24"/>
              <w:szCs w:val="24"/>
            </w:rPr>
          </w:pPr>
          <w:hyperlink w:anchor="_Toc1866944152">
            <w:r w:rsidRPr="55049CAB" w:rsidR="55049CAB">
              <w:rPr>
                <w:rStyle w:val="Hyperlink"/>
              </w:rPr>
              <w:t>4. Using What Is Learned from Others Is Harder</w:t>
            </w:r>
            <w:r>
              <w:tab/>
            </w:r>
            <w:r>
              <w:fldChar w:fldCharType="begin"/>
            </w:r>
            <w:r>
              <w:instrText xml:space="preserve">PAGEREF _Toc1866944152 \h</w:instrText>
            </w:r>
            <w:r>
              <w:fldChar w:fldCharType="separate"/>
            </w:r>
            <w:r w:rsidRPr="55049CAB" w:rsidR="55049CAB">
              <w:rPr>
                <w:rStyle w:val="Hyperlink"/>
              </w:rPr>
              <w:t>2</w:t>
            </w:r>
            <w:r>
              <w:fldChar w:fldCharType="end"/>
            </w:r>
          </w:hyperlink>
        </w:p>
        <w:p w:rsidR="00684F48" w:rsidP="55049CAB" w:rsidRDefault="00684F48" w14:paraId="2B4A3654" w14:textId="7C748C04">
          <w:pPr>
            <w:pStyle w:val="TOC3"/>
            <w:tabs>
              <w:tab w:val="right" w:leader="dot" w:pos="9345"/>
            </w:tabs>
            <w:rPr>
              <w:rFonts w:eastAsia="" w:cs="" w:eastAsiaTheme="minorEastAsia" w:cstheme="minorBidi"/>
              <w:b w:val="0"/>
              <w:bCs w:val="0"/>
              <w:noProof/>
              <w:color w:val="auto"/>
              <w:sz w:val="24"/>
              <w:szCs w:val="24"/>
            </w:rPr>
          </w:pPr>
          <w:hyperlink w:anchor="_Toc562436157">
            <w:r w:rsidRPr="55049CAB" w:rsidR="55049CAB">
              <w:rPr>
                <w:rStyle w:val="Hyperlink"/>
              </w:rPr>
              <w:t>Table 1: Amount of Shared vs. Applied Knowledge</w:t>
            </w:r>
            <w:r>
              <w:tab/>
            </w:r>
            <w:r>
              <w:fldChar w:fldCharType="begin"/>
            </w:r>
            <w:r>
              <w:instrText xml:space="preserve">PAGEREF _Toc562436157 \h</w:instrText>
            </w:r>
            <w:r>
              <w:fldChar w:fldCharType="separate"/>
            </w:r>
            <w:r w:rsidRPr="55049CAB" w:rsidR="55049CAB">
              <w:rPr>
                <w:rStyle w:val="Hyperlink"/>
              </w:rPr>
              <w:t>2</w:t>
            </w:r>
            <w:r>
              <w:fldChar w:fldCharType="end"/>
            </w:r>
          </w:hyperlink>
        </w:p>
        <w:p w:rsidR="00684F48" w:rsidP="55049CAB" w:rsidRDefault="00684F48" w14:paraId="591302BE" w14:textId="4F72B267">
          <w:pPr>
            <w:pStyle w:val="TOC2"/>
            <w:tabs>
              <w:tab w:val="right" w:leader="dot" w:pos="9345"/>
            </w:tabs>
            <w:rPr>
              <w:rFonts w:eastAsia="" w:cs="" w:eastAsiaTheme="minorEastAsia" w:cstheme="minorBidi"/>
              <w:b w:val="0"/>
              <w:bCs w:val="0"/>
              <w:noProof/>
              <w:color w:val="auto"/>
              <w:sz w:val="24"/>
              <w:szCs w:val="24"/>
            </w:rPr>
          </w:pPr>
          <w:hyperlink w:anchor="_Toc578477684">
            <w:r w:rsidRPr="55049CAB" w:rsidR="55049CAB">
              <w:rPr>
                <w:rStyle w:val="Hyperlink"/>
              </w:rPr>
              <w:t>5. Crisis Response Uses the Same Tools as Everyday Work</w:t>
            </w:r>
            <w:r>
              <w:tab/>
            </w:r>
            <w:r>
              <w:fldChar w:fldCharType="begin"/>
            </w:r>
            <w:r>
              <w:instrText xml:space="preserve">PAGEREF _Toc578477684 \h</w:instrText>
            </w:r>
            <w:r>
              <w:fldChar w:fldCharType="separate"/>
            </w:r>
            <w:r w:rsidRPr="55049CAB" w:rsidR="55049CAB">
              <w:rPr>
                <w:rStyle w:val="Hyperlink"/>
              </w:rPr>
              <w:t>3</w:t>
            </w:r>
            <w:r>
              <w:fldChar w:fldCharType="end"/>
            </w:r>
          </w:hyperlink>
        </w:p>
        <w:p w:rsidR="00684F48" w:rsidP="55049CAB" w:rsidRDefault="00684F48" w14:paraId="495D15C7" w14:textId="2942CDA8">
          <w:pPr>
            <w:pStyle w:val="TOC2"/>
            <w:tabs>
              <w:tab w:val="right" w:leader="dot" w:pos="9345"/>
            </w:tabs>
            <w:rPr>
              <w:rFonts w:eastAsia="" w:cs="" w:eastAsiaTheme="minorEastAsia" w:cstheme="minorBidi"/>
              <w:b w:val="0"/>
              <w:bCs w:val="0"/>
              <w:noProof/>
              <w:color w:val="auto"/>
              <w:sz w:val="24"/>
              <w:szCs w:val="24"/>
            </w:rPr>
          </w:pPr>
          <w:hyperlink w:anchor="_Toc363125208">
            <w:r w:rsidRPr="55049CAB" w:rsidR="55049CAB">
              <w:rPr>
                <w:rStyle w:val="Hyperlink"/>
              </w:rPr>
              <w:t>6. OPDs Protect Policy Gains, Not Just Win Them</w:t>
            </w:r>
            <w:r>
              <w:tab/>
            </w:r>
            <w:r>
              <w:fldChar w:fldCharType="begin"/>
            </w:r>
            <w:r>
              <w:instrText xml:space="preserve">PAGEREF _Toc363125208 \h</w:instrText>
            </w:r>
            <w:r>
              <w:fldChar w:fldCharType="separate"/>
            </w:r>
            <w:r w:rsidRPr="55049CAB" w:rsidR="55049CAB">
              <w:rPr>
                <w:rStyle w:val="Hyperlink"/>
              </w:rPr>
              <w:t>3</w:t>
            </w:r>
            <w:r>
              <w:fldChar w:fldCharType="end"/>
            </w:r>
          </w:hyperlink>
        </w:p>
        <w:p w:rsidR="00684F48" w:rsidP="55049CAB" w:rsidRDefault="00684F48" w14:paraId="13195C92" w14:textId="39EE1ECC">
          <w:pPr>
            <w:pStyle w:val="TOC2"/>
            <w:tabs>
              <w:tab w:val="right" w:leader="dot" w:pos="9345"/>
            </w:tabs>
            <w:rPr>
              <w:rFonts w:eastAsia="" w:cs="" w:eastAsiaTheme="minorEastAsia" w:cstheme="minorBidi"/>
              <w:b w:val="0"/>
              <w:bCs w:val="0"/>
              <w:i w:val="0"/>
              <w:iCs w:val="0"/>
              <w:noProof/>
              <w:color w:val="auto"/>
            </w:rPr>
          </w:pPr>
          <w:hyperlink w:anchor="_Toc462699311">
            <w:r w:rsidRPr="55049CAB" w:rsidR="55049CAB">
              <w:rPr>
                <w:rStyle w:val="Hyperlink"/>
              </w:rPr>
              <w:t>7. The Movement Is Building Collective Power</w:t>
            </w:r>
            <w:r>
              <w:tab/>
            </w:r>
            <w:r>
              <w:fldChar w:fldCharType="begin"/>
            </w:r>
            <w:r>
              <w:instrText xml:space="preserve">PAGEREF _Toc462699311 \h</w:instrText>
            </w:r>
            <w:r>
              <w:fldChar w:fldCharType="separate"/>
            </w:r>
            <w:r w:rsidRPr="55049CAB" w:rsidR="55049CAB">
              <w:rPr>
                <w:rStyle w:val="Hyperlink"/>
              </w:rPr>
              <w:t>3</w:t>
            </w:r>
            <w:r>
              <w:fldChar w:fldCharType="end"/>
            </w:r>
          </w:hyperlink>
        </w:p>
        <w:p w:rsidR="00684F48" w:rsidP="55049CAB" w:rsidRDefault="00684F48" w14:paraId="4F010862" w14:textId="066BB607">
          <w:pPr>
            <w:pStyle w:val="TOC1"/>
            <w:tabs>
              <w:tab w:val="right" w:leader="dot" w:pos="9345"/>
            </w:tabs>
            <w:rPr>
              <w:rFonts w:eastAsia="" w:cs="" w:eastAsiaTheme="minorEastAsia" w:cstheme="minorBidi"/>
              <w:b w:val="0"/>
              <w:bCs w:val="0"/>
              <w:i w:val="0"/>
              <w:iCs w:val="0"/>
              <w:noProof/>
              <w:color w:val="auto"/>
            </w:rPr>
          </w:pPr>
          <w:hyperlink w:anchor="_Toc986895150">
            <w:r w:rsidRPr="55049CAB" w:rsidR="55049CAB">
              <w:rPr>
                <w:rStyle w:val="Hyperlink"/>
              </w:rPr>
              <w:t>What OPDs Told DRF</w:t>
            </w:r>
            <w:r>
              <w:tab/>
            </w:r>
            <w:r>
              <w:fldChar w:fldCharType="begin"/>
            </w:r>
            <w:r>
              <w:instrText xml:space="preserve">PAGEREF _Toc986895150 \h</w:instrText>
            </w:r>
            <w:r>
              <w:fldChar w:fldCharType="separate"/>
            </w:r>
            <w:r w:rsidRPr="55049CAB" w:rsidR="55049CAB">
              <w:rPr>
                <w:rStyle w:val="Hyperlink"/>
              </w:rPr>
              <w:t>3</w:t>
            </w:r>
            <w:r>
              <w:fldChar w:fldCharType="end"/>
            </w:r>
          </w:hyperlink>
        </w:p>
        <w:p w:rsidR="55049CAB" w:rsidP="55049CAB" w:rsidRDefault="55049CAB" w14:paraId="29A37BF1" w14:textId="595937F1">
          <w:pPr>
            <w:pStyle w:val="TOC1"/>
            <w:tabs>
              <w:tab w:val="right" w:leader="dot" w:pos="9345"/>
            </w:tabs>
          </w:pPr>
          <w:hyperlink w:anchor="_Toc1284313614">
            <w:r w:rsidRPr="55049CAB" w:rsidR="55049CAB">
              <w:rPr>
                <w:rStyle w:val="Hyperlink"/>
              </w:rPr>
              <w:t>What DRF Will Consider Based on OPD Input</w:t>
            </w:r>
            <w:r>
              <w:tab/>
            </w:r>
            <w:r>
              <w:fldChar w:fldCharType="begin"/>
            </w:r>
            <w:r>
              <w:instrText xml:space="preserve">PAGEREF _Toc1284313614 \h</w:instrText>
            </w:r>
            <w:r>
              <w:fldChar w:fldCharType="separate"/>
            </w:r>
            <w:r w:rsidRPr="55049CAB" w:rsidR="55049CAB">
              <w:rPr>
                <w:rStyle w:val="Hyperlink"/>
              </w:rPr>
              <w:t>4</w:t>
            </w:r>
            <w:r>
              <w:fldChar w:fldCharType="end"/>
            </w:r>
          </w:hyperlink>
        </w:p>
        <w:p w:rsidRPr="00CE672A" w:rsidR="00CE672A" w:rsidP="00CE672A" w:rsidRDefault="002A3444" w14:paraId="6251928E" w14:textId="75AB6C0B">
          <w:pPr>
            <w:rPr>
              <w:b/>
              <w:bCs/>
              <w:noProof/>
              <w:sz w:val="2"/>
              <w:szCs w:val="2"/>
            </w:rPr>
          </w:pPr>
          <w:r>
            <w:rPr>
              <w:b/>
              <w:bCs/>
              <w:noProof/>
            </w:rPr>
            <w:fldChar w:fldCharType="end"/>
          </w:r>
        </w:p>
      </w:sdtContent>
    </w:sdt>
    <w:p w:rsidR="007B658D" w:rsidP="55049CAB" w:rsidRDefault="00000000" w14:paraId="04DDF5DF" w14:textId="32A9F2F2">
      <w:pPr>
        <w:pStyle w:val="Heading1"/>
        <w:spacing w:before="80" w:beforeAutospacing="off"/>
      </w:pPr>
      <w:bookmarkStart w:name="_Toc1927607178" w:id="878585149"/>
      <w:r w:rsidR="3DD368D3">
        <w:rPr/>
        <w:t xml:space="preserve">What </w:t>
      </w:r>
      <w:r w:rsidR="7C00AE68">
        <w:rPr/>
        <w:t>is in this</w:t>
      </w:r>
      <w:r w:rsidR="3DD368D3">
        <w:rPr/>
        <w:t xml:space="preserve"> Report</w:t>
      </w:r>
      <w:bookmarkEnd w:id="878585149"/>
    </w:p>
    <w:p w:rsidR="007B658D" w:rsidRDefault="00CE672A" w14:paraId="522E17EB" w14:textId="58618CA6">
      <w:pPr>
        <w:spacing w:after="160" w:line="300" w:lineRule="auto"/>
      </w:pPr>
      <w:r w:rsidR="00CE672A">
        <w:rPr/>
        <w:t>Since 2019</w:t>
      </w:r>
      <w:r w:rsidR="00CE672A">
        <w:rPr/>
        <w:t xml:space="preserve">, the Disability Rights Fund (DRF) </w:t>
      </w:r>
      <w:r w:rsidR="00CE672A">
        <w:rPr/>
        <w:t xml:space="preserve">has </w:t>
      </w:r>
      <w:r w:rsidR="00CE672A">
        <w:rPr/>
        <w:t>share</w:t>
      </w:r>
      <w:r w:rsidR="00CE672A">
        <w:rPr/>
        <w:t>d</w:t>
      </w:r>
      <w:r w:rsidR="00CE672A">
        <w:rPr/>
        <w:t xml:space="preserve"> </w:t>
      </w:r>
      <w:r w:rsidR="00CE672A">
        <w:rPr/>
        <w:t>the findings of its</w:t>
      </w:r>
      <w:r w:rsidR="00CE672A">
        <w:rPr/>
        <w:t xml:space="preserve"> Annual Grantee Survey (AGS) with </w:t>
      </w:r>
      <w:r w:rsidR="00CE672A">
        <w:rPr/>
        <w:t xml:space="preserve">its </w:t>
      </w:r>
      <w:r w:rsidR="00CE672A">
        <w:rPr/>
        <w:t>organizations of persons with disabilities (OPD) partners. This report summarizes the results of the 2026 AGS, co</w:t>
      </w:r>
      <w:r w:rsidR="00CE672A">
        <w:rPr/>
        <w:t xml:space="preserve">mpleted </w:t>
      </w:r>
      <w:r w:rsidR="00CE672A">
        <w:rPr/>
        <w:t>in early 2026.</w:t>
      </w:r>
      <w:r w:rsidR="00CE672A">
        <w:rPr/>
        <w:t xml:space="preserve"> </w:t>
      </w:r>
      <w:r w:rsidR="005A79F4">
        <w:rPr/>
        <w:t>The report was drafted</w:t>
      </w:r>
      <w:r w:rsidR="00CE672A">
        <w:rPr/>
        <w:t xml:space="preserve"> </w:t>
      </w:r>
      <w:r w:rsidR="005A79F4">
        <w:rPr/>
        <w:t>using</w:t>
      </w:r>
      <w:r w:rsidR="00CE672A">
        <w:rPr/>
        <w:t xml:space="preserve"> AI (Claude, Anthropic</w:t>
      </w:r>
      <w:r w:rsidR="005A79F4">
        <w:rPr/>
        <w:t>)</w:t>
      </w:r>
      <w:r w:rsidR="69386A04">
        <w:rPr/>
        <w:t>, then</w:t>
      </w:r>
      <w:r w:rsidR="00CE672A">
        <w:rPr/>
        <w:t xml:space="preserve"> corrected by the DRF Director of Learning and Evaluation.  </w:t>
      </w:r>
    </w:p>
    <w:p w:rsidR="00CE672A" w:rsidP="00CE672A" w:rsidRDefault="00000000" w14:paraId="027EBF7D" w14:textId="41AF78E8">
      <w:pPr>
        <w:spacing w:after="160" w:line="300" w:lineRule="auto"/>
      </w:pPr>
      <w:r>
        <w:t xml:space="preserve">The 2026 survey is the first </w:t>
      </w:r>
      <w:r w:rsidR="00CE672A">
        <w:t>to support</w:t>
      </w:r>
      <w:r>
        <w:t xml:space="preserve"> DRF’s new Movement Outcome Framework, which focuses on collaboration, shared learning, and movement building. One hundred and four OPDs responded to the survey</w:t>
      </w:r>
      <w:r w:rsidR="00CE672A">
        <w:t>. This was</w:t>
      </w:r>
      <w:r>
        <w:t xml:space="preserve"> a response rate of 86%</w:t>
      </w:r>
      <w:r w:rsidR="00CE672A">
        <w:t xml:space="preserve">, </w:t>
      </w:r>
      <w:r>
        <w:t>the highest since the survey began in 2011.</w:t>
      </w:r>
      <w:r w:rsidR="00CE672A">
        <w:t xml:space="preserve"> </w:t>
      </w:r>
      <w:r w:rsidR="00CE672A">
        <w:t>DRF thanks all OPD</w:t>
      </w:r>
      <w:r w:rsidR="00CE672A">
        <w:t xml:space="preserve"> partner</w:t>
      </w:r>
      <w:r w:rsidR="00CE672A">
        <w:t xml:space="preserve">s who responded to </w:t>
      </w:r>
      <w:r w:rsidR="00CE672A">
        <w:t>this</w:t>
      </w:r>
      <w:r w:rsidR="00CE672A">
        <w:t xml:space="preserve"> survey. Your </w:t>
      </w:r>
      <w:r w:rsidR="00CE672A">
        <w:t>input</w:t>
      </w:r>
      <w:r w:rsidR="00CE672A">
        <w:t xml:space="preserve"> shape</w:t>
      </w:r>
      <w:r w:rsidR="00CE672A">
        <w:t>s</w:t>
      </w:r>
      <w:r w:rsidR="00CE672A">
        <w:t xml:space="preserve"> how DRF supports the disability rights movement. The full findings report</w:t>
      </w:r>
      <w:r w:rsidR="00CE672A">
        <w:t xml:space="preserve"> </w:t>
      </w:r>
      <w:r w:rsidR="00CE672A">
        <w:t>is available upon request.</w:t>
      </w:r>
    </w:p>
    <w:p w:rsidR="007B658D" w:rsidRDefault="00000000" w14:paraId="7C98DC8F" w14:textId="6B5EFF3E">
      <w:pPr>
        <w:pStyle w:val="Heading1"/>
      </w:pPr>
      <w:bookmarkStart w:name="_Toc998871036" w:id="2000833823"/>
      <w:r w:rsidR="3DD368D3">
        <w:rPr/>
        <w:t>What the Survey Asked</w:t>
      </w:r>
      <w:bookmarkEnd w:id="2000833823"/>
    </w:p>
    <w:p w:rsidR="007B658D" w:rsidRDefault="00000000" w14:paraId="14AADBDB" w14:textId="0294963E">
      <w:pPr>
        <w:spacing w:after="160" w:line="300" w:lineRule="auto"/>
        <w:rPr>
          <w:b w:val="0"/>
          <w:bCs w:val="0"/>
        </w:rPr>
      </w:pPr>
      <w:r w:rsidR="3DD368D3">
        <w:rPr/>
        <w:t xml:space="preserve">The </w:t>
      </w:r>
      <w:r w:rsidR="7C00AE68">
        <w:rPr/>
        <w:t xml:space="preserve">2026 </w:t>
      </w:r>
      <w:r w:rsidR="3DD368D3">
        <w:rPr/>
        <w:t xml:space="preserve">survey had </w:t>
      </w:r>
      <w:r w:rsidR="28BD639E">
        <w:rPr/>
        <w:t xml:space="preserve">three main </w:t>
      </w:r>
      <w:r w:rsidR="3DD368D3">
        <w:rPr/>
        <w:t>sections: collaboration with other organizations, contributing to and using learning,</w:t>
      </w:r>
      <w:r w:rsidR="28BD639E">
        <w:rPr/>
        <w:t xml:space="preserve"> and</w:t>
      </w:r>
      <w:r w:rsidR="3DD368D3">
        <w:rPr/>
        <w:t xml:space="preserve"> partnership with DRF. </w:t>
      </w:r>
      <w:r w:rsidR="28BD639E">
        <w:rPr/>
        <w:t xml:space="preserve">These sections informed </w:t>
      </w:r>
      <w:r w:rsidR="3DD368D3">
        <w:rPr/>
        <w:t xml:space="preserve">three </w:t>
      </w:r>
      <w:r w:rsidR="28BD639E">
        <w:rPr/>
        <w:t xml:space="preserve">indicators </w:t>
      </w:r>
      <w:r w:rsidR="28BD639E">
        <w:rPr/>
        <w:t xml:space="preserve">and </w:t>
      </w:r>
      <w:r w:rsidR="3DD368D3">
        <w:rPr/>
        <w:t>four learning questions</w:t>
      </w:r>
      <w:r w:rsidR="28BD639E">
        <w:rPr/>
        <w:t xml:space="preserve"> under the DRF Movement Outcome Framework</w:t>
      </w:r>
      <w:r w:rsidR="3DD368D3">
        <w:rPr/>
        <w:t>.</w:t>
      </w:r>
      <w:r w:rsidR="28BD639E">
        <w:rPr/>
        <w:t xml:space="preserve"> </w:t>
      </w:r>
      <w:r w:rsidR="3DD368D3">
        <w:rPr>
          <w:b w:val="0"/>
          <w:bCs w:val="0"/>
        </w:rPr>
        <w:t xml:space="preserve">The </w:t>
      </w:r>
      <w:r w:rsidR="3DD368D3">
        <w:rPr>
          <w:b w:val="0"/>
          <w:bCs w:val="0"/>
        </w:rPr>
        <w:t>three indicators</w:t>
      </w:r>
      <w:r w:rsidR="3DD368D3">
        <w:rPr>
          <w:b w:val="0"/>
          <w:bCs w:val="0"/>
        </w:rPr>
        <w:t xml:space="preserve"> measure whether OPDs collaborate with other organizations (Indicator 1.1), share learning with others (Indicator 2.1), and apply what they learn (Indicator 2.2).</w:t>
      </w:r>
      <w:r w:rsidR="28BD639E">
        <w:rPr>
          <w:b w:val="0"/>
          <w:bCs w:val="0"/>
        </w:rPr>
        <w:t xml:space="preserve"> </w:t>
      </w:r>
      <w:r w:rsidR="3DD368D3">
        <w:rPr>
          <w:b w:val="0"/>
          <w:bCs w:val="0"/>
        </w:rPr>
        <w:t xml:space="preserve">The </w:t>
      </w:r>
      <w:r w:rsidR="3DD368D3">
        <w:rPr>
          <w:b w:val="0"/>
          <w:bCs w:val="0"/>
        </w:rPr>
        <w:t>four learning questions</w:t>
      </w:r>
      <w:r w:rsidR="3DD368D3">
        <w:rPr>
          <w:b w:val="0"/>
          <w:bCs w:val="0"/>
        </w:rPr>
        <w:t xml:space="preserve"> explore how OPDs protect policy gains, build capacity in crisis contexts, strengthen collective power, and how individual OPD growth helps the broader movement.</w:t>
      </w:r>
    </w:p>
    <w:p w:rsidR="007B658D" w:rsidRDefault="00000000" w14:paraId="79C11C6C" w14:textId="2199F147">
      <w:pPr>
        <w:pStyle w:val="Heading1"/>
      </w:pPr>
      <w:bookmarkStart w:name="_Toc1528571325" w:id="1180388491"/>
      <w:r w:rsidR="3DD368D3">
        <w:rPr/>
        <w:t>What We Learned</w:t>
      </w:r>
      <w:bookmarkEnd w:id="1180388491"/>
    </w:p>
    <w:p w:rsidR="002F736A" w:rsidP="002F736A" w:rsidRDefault="002F736A" w14:paraId="66CB464C" w14:textId="77777777">
      <w:pPr>
        <w:pStyle w:val="Heading2"/>
      </w:pPr>
      <w:bookmarkStart w:name="_Toc2087269541" w:id="2128272496"/>
      <w:r w:rsidR="28BD639E">
        <w:rPr/>
        <w:t>1.  Individual OPD Growth Feeds the Movement</w:t>
      </w:r>
      <w:bookmarkEnd w:id="2128272496"/>
    </w:p>
    <w:p w:rsidR="002F736A" w:rsidP="002F736A" w:rsidRDefault="002F736A" w14:paraId="1F54BD49" w14:textId="77777777">
      <w:pPr>
        <w:spacing w:after="160" w:line="300" w:lineRule="auto"/>
      </w:pPr>
      <w:r>
        <w:t>Seventy-seven OPDs described organizational capacity growth, and every one of them also showed signs of contributing to the broader movement through joint advocacy, coalition building, or peer support. OPDs grow internally and share that capacity outward through training (53%), mentoring (35%), and serving as subject matter experts (27%).</w:t>
      </w:r>
    </w:p>
    <w:p w:rsidRPr="005A79F4" w:rsidR="002F736A" w:rsidP="002F736A" w:rsidRDefault="002F736A" w14:paraId="21268326" w14:textId="77777777">
      <w:pPr>
        <w:spacing w:before="160" w:after="80" w:line="300" w:lineRule="auto"/>
        <w:ind w:left="720" w:right="720"/>
        <w:rPr>
          <w:i/>
          <w:iCs/>
          <w:color w:val="501549" w:themeColor="accent5" w:themeShade="80"/>
        </w:rPr>
      </w:pPr>
      <w:r w:rsidRPr="005A79F4">
        <w:rPr>
          <w:i/>
          <w:iCs/>
          <w:color w:val="501549" w:themeColor="accent5" w:themeShade="80"/>
        </w:rPr>
        <w:t>“DRF has been the source of our organization’s growth, strong visibility, and for gaining strong advocacy strategies. All the connections and collaborations and partnerships we have are results of the DRF funds that every year increases our visibility through the advocacy projects we implement.”</w:t>
      </w:r>
    </w:p>
    <w:p w:rsidR="005A79F4" w:rsidP="005A79F4" w:rsidRDefault="005A79F4" w14:paraId="49C612F7" w14:textId="3B2D6040">
      <w:pPr>
        <w:spacing w:after="160" w:line="300" w:lineRule="auto"/>
      </w:pPr>
      <w:r>
        <w:t>Among emerging OPDs</w:t>
      </w:r>
      <w:r w:rsidR="00E3155F">
        <w:t xml:space="preserve"> </w:t>
      </w:r>
      <w:r w:rsidR="00E3155F">
        <w:t>(</w:t>
      </w:r>
      <w:r w:rsidR="00E3155F">
        <w:t xml:space="preserve">active for </w:t>
      </w:r>
      <w:r w:rsidR="00E3155F">
        <w:t>less than five years)</w:t>
      </w:r>
      <w:r>
        <w:t xml:space="preserve">, 76% report extensive collaboration. DRF’s </w:t>
      </w:r>
      <w:r w:rsidR="00E3155F">
        <w:t>work</w:t>
      </w:r>
      <w:r>
        <w:t xml:space="preserve"> </w:t>
      </w:r>
      <w:r w:rsidR="00E3155F">
        <w:t>with</w:t>
      </w:r>
      <w:r>
        <w:t xml:space="preserve"> newer organizations appears to contribute to movement strengthening quickly.</w:t>
      </w:r>
    </w:p>
    <w:p w:rsidR="007B658D" w:rsidRDefault="002F736A" w14:paraId="006C6076" w14:textId="16E35635">
      <w:pPr>
        <w:pStyle w:val="Heading2"/>
      </w:pPr>
      <w:bookmarkStart w:name="_Toc1775528747" w:id="752358012"/>
      <w:r w:rsidR="28BD639E">
        <w:rPr/>
        <w:t>2</w:t>
      </w:r>
      <w:r w:rsidR="28BD639E">
        <w:rPr/>
        <w:t>. OPDs Are Deeply Connected</w:t>
      </w:r>
      <w:bookmarkEnd w:id="752358012"/>
    </w:p>
    <w:p w:rsidRPr="005A79F4" w:rsidR="005A79F4" w:rsidP="005A79F4" w:rsidRDefault="00000000" w14:paraId="6CDB0292" w14:textId="3D25BF6B">
      <w:pPr>
        <w:spacing w:after="160" w:line="300" w:lineRule="auto"/>
      </w:pPr>
      <w:r w:rsidR="3DD368D3">
        <w:rPr/>
        <w:t xml:space="preserve">Eighty-one percent of OPDs described extensive or very extensive collaboration, and 88% </w:t>
      </w:r>
      <w:r w:rsidR="3DD368D3">
        <w:rPr/>
        <w:t>partner</w:t>
      </w:r>
      <w:r w:rsidR="3DD368D3">
        <w:rPr/>
        <w:t xml:space="preserve"> with at least one organization outside the disability movement. The most common cross-movement partners are women’s rights organizations (70%), human rights groups (68%), youth organizations (53%), and climate justice groups (44%).</w:t>
      </w:r>
      <w:r w:rsidR="5E434726">
        <w:rPr/>
        <w:t xml:space="preserve"> </w:t>
      </w:r>
      <w:r w:rsidR="3DD368D3">
        <w:rPr/>
        <w:t>Th</w:t>
      </w:r>
      <w:r w:rsidR="362A4648">
        <w:rPr/>
        <w:t>e</w:t>
      </w:r>
      <w:r w:rsidR="3DD368D3">
        <w:rPr/>
        <w:t xml:space="preserve"> main activities OPDs do together are shared capacity building (88%) and joint advocacy (82%). Nearly all respondents (97%) plan to collaborat</w:t>
      </w:r>
      <w:r w:rsidR="362A4648">
        <w:rPr/>
        <w:t xml:space="preserve">e in the future, </w:t>
      </w:r>
      <w:r w:rsidR="362A4648">
        <w:rPr/>
        <w:t>as one OPD said:  </w:t>
      </w:r>
    </w:p>
    <w:p w:rsidRPr="005A79F4" w:rsidR="007B658D" w:rsidP="005A79F4" w:rsidRDefault="005A79F4" w14:paraId="6F67BE7C" w14:textId="7401265E">
      <w:pPr>
        <w:spacing w:after="160" w:line="300" w:lineRule="auto"/>
        <w:ind w:left="540" w:right="1170"/>
        <w:rPr>
          <w:color w:val="501549" w:themeColor="accent5" w:themeShade="80"/>
        </w:rPr>
      </w:pPr>
      <w:r w:rsidRPr="005A79F4">
        <w:rPr>
          <w:i/>
          <w:iCs/>
          <w:color w:val="501549" w:themeColor="accent5" w:themeShade="80"/>
        </w:rPr>
        <w:t>“We plan to have more [collaboration with others] in that it creates teamwork and one voice in terms of advocacy.”</w:t>
      </w:r>
      <w:r w:rsidRPr="005A79F4">
        <w:rPr>
          <w:color w:val="501549" w:themeColor="accent5" w:themeShade="80"/>
        </w:rPr>
        <w:t> </w:t>
      </w:r>
    </w:p>
    <w:p w:rsidR="007B658D" w:rsidRDefault="00000000" w14:paraId="7A038DD5" w14:textId="2A6EDB3D">
      <w:pPr>
        <w:pStyle w:val="Heading2"/>
      </w:pPr>
      <w:bookmarkStart w:name="_Toc1547169330" w:id="1467992337"/>
      <w:r w:rsidR="3DD368D3">
        <w:rPr/>
        <w:t>3. OPDs Share Knowledge Generously</w:t>
      </w:r>
      <w:bookmarkEnd w:id="1467992337"/>
    </w:p>
    <w:p w:rsidR="007B658D" w:rsidRDefault="00000000" w14:paraId="75652F11" w14:textId="69AC8959">
      <w:pPr>
        <w:spacing w:after="160" w:line="300" w:lineRule="auto"/>
      </w:pPr>
      <w:r>
        <w:t xml:space="preserve">Eighty percent of OPDs made significant contributions to others’ learning. The most shared areas are accessibility practices (79%) and advocacy strategies (78%). OPDs share </w:t>
      </w:r>
      <w:r w:rsidR="009A3B92">
        <w:t>most in</w:t>
      </w:r>
      <w:r>
        <w:t xml:space="preserve"> conferences (56%), training (53%), </w:t>
      </w:r>
      <w:r w:rsidR="009A3B92">
        <w:t xml:space="preserve">and </w:t>
      </w:r>
      <w:r>
        <w:t xml:space="preserve">peer exchanges (37%) </w:t>
      </w:r>
      <w:r w:rsidR="009A3B92">
        <w:t>as explained by an OPD:</w:t>
      </w:r>
    </w:p>
    <w:p w:rsidRPr="009A3B92" w:rsidR="007B658D" w:rsidRDefault="00000000" w14:paraId="45CBA7C5" w14:textId="1F820B92">
      <w:pPr>
        <w:spacing w:before="160" w:after="80" w:line="300" w:lineRule="auto"/>
        <w:ind w:left="720" w:right="720"/>
        <w:rPr>
          <w:color w:val="501549" w:themeColor="accent5" w:themeShade="80"/>
        </w:rPr>
      </w:pPr>
      <w:r w:rsidRPr="55049CAB" w:rsidR="3DD368D3">
        <w:rPr>
          <w:i w:val="1"/>
          <w:iCs w:val="1"/>
          <w:color w:val="501549" w:themeColor="accent5" w:themeTint="FF" w:themeShade="80"/>
        </w:rPr>
        <w:t xml:space="preserve">“Being one of the emerging organizations, we focus more on the learnings that have been in the field for a long time. </w:t>
      </w:r>
      <w:r w:rsidRPr="55049CAB" w:rsidR="149EFEA8">
        <w:rPr>
          <w:i w:val="1"/>
          <w:iCs w:val="1"/>
          <w:color w:val="501549" w:themeColor="accent5" w:themeTint="FF" w:themeShade="80"/>
        </w:rPr>
        <w:t>. .</w:t>
      </w:r>
      <w:r w:rsidRPr="55049CAB" w:rsidR="3DD368D3">
        <w:rPr>
          <w:i w:val="1"/>
          <w:iCs w:val="1"/>
          <w:color w:val="501549" w:themeColor="accent5" w:themeTint="FF" w:themeShade="80"/>
        </w:rPr>
        <w:t xml:space="preserve"> to create meaningful inclusion.”</w:t>
      </w:r>
    </w:p>
    <w:p w:rsidR="007B658D" w:rsidRDefault="002F736A" w14:paraId="048F80AA" w14:textId="416520ED">
      <w:pPr>
        <w:pStyle w:val="Heading2"/>
      </w:pPr>
      <w:bookmarkStart w:name="_Toc1866944152" w:id="1869876176"/>
      <w:r w:rsidR="28BD639E">
        <w:rPr/>
        <w:t>4</w:t>
      </w:r>
      <w:r w:rsidR="28BD639E">
        <w:rPr/>
        <w:t>. Using What Is Learned from Others Is Harder</w:t>
      </w:r>
      <w:bookmarkEnd w:id="1869876176"/>
    </w:p>
    <w:p w:rsidR="007B658D" w:rsidRDefault="00000000" w14:paraId="37A8D9AB" w14:textId="11329C92">
      <w:pPr>
        <w:spacing w:after="160" w:line="300" w:lineRule="auto"/>
      </w:pPr>
      <w:r w:rsidR="3DD368D3">
        <w:rPr/>
        <w:t>While OPDs share knowledge widely, fewer apply what they learn from others. Fifty-one</w:t>
      </w:r>
      <w:r w:rsidR="67D738F0">
        <w:rPr/>
        <w:t xml:space="preserve"> </w:t>
      </w:r>
      <w:r w:rsidR="3DD368D3">
        <w:rPr/>
        <w:t>percent</w:t>
      </w:r>
      <w:r w:rsidR="3DD368D3">
        <w:rPr/>
        <w:t xml:space="preserve"> said they used a lot of what they learned, while 43% used some. Across every</w:t>
      </w:r>
    </w:p>
    <w:p w:rsidR="007B658D" w:rsidRDefault="00000000" w14:paraId="1047A119" w14:textId="6ADF3BB0">
      <w:pPr>
        <w:spacing w:after="160" w:line="300" w:lineRule="auto"/>
      </w:pPr>
      <w:r w:rsidR="3DD368D3">
        <w:rPr/>
        <w:t>knowledge area</w:t>
      </w:r>
      <w:r w:rsidR="0F865329">
        <w:rPr/>
        <w:t>,</w:t>
      </w:r>
      <w:r w:rsidR="3DD368D3">
        <w:rPr/>
        <w:t xml:space="preserve"> </w:t>
      </w:r>
      <w:r w:rsidR="3DD368D3">
        <w:rPr/>
        <w:t>except</w:t>
      </w:r>
      <w:r w:rsidR="3DD368D3">
        <w:rPr/>
        <w:t xml:space="preserve"> </w:t>
      </w:r>
      <w:r w:rsidR="1B9112E3">
        <w:rPr/>
        <w:t>safeguarding</w:t>
      </w:r>
      <w:r w:rsidR="3DD368D3">
        <w:rPr/>
        <w:t>, more OPDs share knowledge than apply it</w:t>
      </w:r>
      <w:r w:rsidR="35BBAB4A">
        <w:rPr/>
        <w:t>, as shown in</w:t>
      </w:r>
      <w:r w:rsidR="3DD368D3">
        <w:rPr/>
        <w:t xml:space="preserve"> </w:t>
      </w:r>
      <w:r w:rsidR="6AAF52B5">
        <w:rPr/>
        <w:t>t</w:t>
      </w:r>
      <w:r w:rsidR="3DD368D3">
        <w:rPr/>
        <w:t>he table below.</w:t>
      </w:r>
    </w:p>
    <w:p w:rsidR="5812CC69" w:rsidP="55049CAB" w:rsidRDefault="5812CC69" w14:paraId="1043FE36" w14:textId="25300E78">
      <w:pPr>
        <w:pStyle w:val="Heading3"/>
      </w:pPr>
      <w:bookmarkStart w:name="_Toc562436157" w:id="165142611"/>
      <w:r w:rsidR="5812CC69">
        <w:rPr/>
        <w:t>Table 1: Amount of Shared vs. Applied Knowledge</w:t>
      </w:r>
      <w:bookmarkEnd w:id="165142611"/>
    </w:p>
    <w:tbl>
      <w:tblPr>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305"/>
        <w:gridCol w:w="1845"/>
        <w:gridCol w:w="1620"/>
      </w:tblGrid>
      <w:tr w:rsidR="007B658D" w:rsidTr="55049CAB" w14:paraId="754396E7" w14:textId="77777777">
        <w:tblPrEx>
          <w:tblCellMar>
            <w:top w:w="0" w:type="dxa"/>
            <w:bottom w:w="0" w:type="dxa"/>
          </w:tblCellMar>
        </w:tblPrEx>
        <w:trPr>
          <w:tblHeader/>
        </w:trPr>
        <w:tc>
          <w:tcPr>
            <w:tcW w:w="4305" w:type="dxa"/>
            <w:tcBorders>
              <w:top w:val="single" w:color="B0B0B0" w:sz="1" w:space="0"/>
              <w:left w:val="single" w:color="B0B0B0" w:sz="1" w:space="0"/>
              <w:bottom w:val="single" w:color="B0B0B0" w:sz="1" w:space="0"/>
              <w:right w:val="single" w:color="B0B0B0" w:sz="1" w:space="0"/>
            </w:tcBorders>
            <w:shd w:val="clear" w:color="auto" w:fill="E8F0F5"/>
            <w:tcMar>
              <w:top w:w="80" w:type="dxa"/>
              <w:left w:w="120" w:type="dxa"/>
              <w:bottom w:w="80" w:type="dxa"/>
              <w:right w:w="120" w:type="dxa"/>
            </w:tcMar>
            <w:vAlign w:val="center"/>
          </w:tcPr>
          <w:p w:rsidR="007B658D" w:rsidP="55049CAB" w:rsidRDefault="00000000" w14:paraId="26FBFD6C" w14:textId="77777777">
            <w:pPr>
              <w:jc w:val="center"/>
              <w:rPr>
                <w:b w:val="1"/>
                <w:bCs w:val="1"/>
                <w:sz w:val="22"/>
                <w:szCs w:val="22"/>
              </w:rPr>
            </w:pPr>
            <w:r w:rsidRPr="55049CAB" w:rsidR="3DD368D3">
              <w:rPr>
                <w:b w:val="1"/>
                <w:bCs w:val="1"/>
                <w:sz w:val="22"/>
                <w:szCs w:val="22"/>
              </w:rPr>
              <w:t>Knowledge Area</w:t>
            </w:r>
          </w:p>
        </w:tc>
        <w:tc>
          <w:tcPr>
            <w:tcW w:w="1845" w:type="dxa"/>
            <w:tcBorders>
              <w:top w:val="single" w:color="B0B0B0" w:sz="1" w:space="0"/>
              <w:left w:val="single" w:color="B0B0B0" w:sz="1" w:space="0"/>
              <w:bottom w:val="single" w:color="B0B0B0" w:sz="1" w:space="0"/>
              <w:right w:val="single" w:color="B0B0B0" w:sz="1" w:space="0"/>
            </w:tcBorders>
            <w:shd w:val="clear" w:color="auto" w:fill="E8F0F5"/>
            <w:tcMar>
              <w:top w:w="80" w:type="dxa"/>
              <w:left w:w="120" w:type="dxa"/>
              <w:bottom w:w="80" w:type="dxa"/>
              <w:right w:w="120" w:type="dxa"/>
            </w:tcMar>
            <w:vAlign w:val="center"/>
          </w:tcPr>
          <w:p w:rsidR="007B658D" w:rsidP="55049CAB" w:rsidRDefault="00000000" w14:paraId="2C35DAB3" w14:textId="77777777">
            <w:pPr>
              <w:jc w:val="center"/>
              <w:rPr>
                <w:b w:val="1"/>
                <w:bCs w:val="1"/>
                <w:sz w:val="22"/>
                <w:szCs w:val="22"/>
              </w:rPr>
            </w:pPr>
            <w:r w:rsidRPr="55049CAB" w:rsidR="3DD368D3">
              <w:rPr>
                <w:b w:val="1"/>
                <w:bCs w:val="1"/>
                <w:sz w:val="22"/>
                <w:szCs w:val="22"/>
              </w:rPr>
              <w:t>Shared</w:t>
            </w:r>
          </w:p>
        </w:tc>
        <w:tc>
          <w:tcPr>
            <w:tcW w:w="1620" w:type="dxa"/>
            <w:tcBorders>
              <w:top w:val="single" w:color="B0B0B0" w:sz="1" w:space="0"/>
              <w:left w:val="single" w:color="B0B0B0" w:sz="1" w:space="0"/>
              <w:bottom w:val="single" w:color="B0B0B0" w:sz="1" w:space="0"/>
              <w:right w:val="single" w:color="B0B0B0" w:sz="1" w:space="0"/>
            </w:tcBorders>
            <w:shd w:val="clear" w:color="auto" w:fill="E8F0F5"/>
            <w:tcMar>
              <w:top w:w="80" w:type="dxa"/>
              <w:left w:w="120" w:type="dxa"/>
              <w:bottom w:w="80" w:type="dxa"/>
              <w:right w:w="120" w:type="dxa"/>
            </w:tcMar>
            <w:vAlign w:val="center"/>
          </w:tcPr>
          <w:p w:rsidR="007B658D" w:rsidP="55049CAB" w:rsidRDefault="00000000" w14:paraId="2913BCED" w14:textId="77777777">
            <w:pPr>
              <w:jc w:val="center"/>
              <w:rPr>
                <w:b w:val="1"/>
                <w:bCs w:val="1"/>
                <w:sz w:val="22"/>
                <w:szCs w:val="22"/>
              </w:rPr>
            </w:pPr>
            <w:r w:rsidRPr="55049CAB" w:rsidR="3DD368D3">
              <w:rPr>
                <w:b w:val="1"/>
                <w:bCs w:val="1"/>
                <w:sz w:val="22"/>
                <w:szCs w:val="22"/>
              </w:rPr>
              <w:t>Applied</w:t>
            </w:r>
          </w:p>
        </w:tc>
      </w:tr>
      <w:tr w:rsidR="007B658D" w:rsidTr="55049CAB" w14:paraId="385BEBE9" w14:textId="77777777">
        <w:tblPrEx>
          <w:tblCellMar>
            <w:top w:w="0" w:type="dxa"/>
            <w:bottom w:w="0" w:type="dxa"/>
          </w:tblCellMar>
        </w:tblPrEx>
        <w:tc>
          <w:tcPr>
            <w:tcW w:w="430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tcPr>
          <w:p w:rsidR="007B658D" w:rsidP="55B564BB" w:rsidRDefault="00000000" w14:paraId="3D010EB5" w14:textId="77777777">
            <w:pPr>
              <w:rPr>
                <w:sz w:val="22"/>
                <w:szCs w:val="22"/>
              </w:rPr>
            </w:pPr>
            <w:r w:rsidRPr="55B564BB">
              <w:rPr>
                <w:sz w:val="22"/>
                <w:szCs w:val="22"/>
              </w:rPr>
              <w:t>Accessibility practices</w:t>
            </w:r>
          </w:p>
        </w:tc>
        <w:tc>
          <w:tcPr>
            <w:tcW w:w="184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000000" w14:paraId="6C9E1A15" w14:textId="77777777">
            <w:pPr>
              <w:jc w:val="center"/>
              <w:rPr>
                <w:sz w:val="22"/>
                <w:szCs w:val="22"/>
              </w:rPr>
            </w:pPr>
            <w:r w:rsidRPr="55049CAB" w:rsidR="3DD368D3">
              <w:rPr>
                <w:sz w:val="22"/>
                <w:szCs w:val="22"/>
              </w:rPr>
              <w:t>79%</w:t>
            </w:r>
          </w:p>
        </w:tc>
        <w:tc>
          <w:tcPr>
            <w:tcW w:w="1620"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000000" w14:paraId="085B79CA" w14:textId="77777777">
            <w:pPr>
              <w:jc w:val="center"/>
              <w:rPr>
                <w:sz w:val="22"/>
                <w:szCs w:val="22"/>
              </w:rPr>
            </w:pPr>
            <w:r w:rsidRPr="55049CAB" w:rsidR="3DD368D3">
              <w:rPr>
                <w:sz w:val="22"/>
                <w:szCs w:val="22"/>
              </w:rPr>
              <w:t>14%</w:t>
            </w:r>
          </w:p>
        </w:tc>
      </w:tr>
      <w:tr w:rsidR="007B658D" w:rsidTr="55049CAB" w14:paraId="3D3F23B7" w14:textId="77777777">
        <w:tblPrEx>
          <w:tblCellMar>
            <w:top w:w="0" w:type="dxa"/>
            <w:bottom w:w="0" w:type="dxa"/>
          </w:tblCellMar>
        </w:tblPrEx>
        <w:tc>
          <w:tcPr>
            <w:tcW w:w="430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tcPr>
          <w:p w:rsidR="007B658D" w:rsidP="55B564BB" w:rsidRDefault="00000000" w14:paraId="397625F5" w14:textId="77777777">
            <w:pPr>
              <w:rPr>
                <w:sz w:val="22"/>
                <w:szCs w:val="22"/>
              </w:rPr>
            </w:pPr>
            <w:r w:rsidRPr="55B564BB">
              <w:rPr>
                <w:sz w:val="22"/>
                <w:szCs w:val="22"/>
              </w:rPr>
              <w:t>Advocacy strategies</w:t>
            </w:r>
          </w:p>
        </w:tc>
        <w:tc>
          <w:tcPr>
            <w:tcW w:w="184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000000" w14:paraId="049AF974" w14:textId="77777777">
            <w:pPr>
              <w:jc w:val="center"/>
              <w:rPr>
                <w:sz w:val="22"/>
                <w:szCs w:val="22"/>
              </w:rPr>
            </w:pPr>
            <w:r w:rsidRPr="55049CAB" w:rsidR="3DD368D3">
              <w:rPr>
                <w:sz w:val="22"/>
                <w:szCs w:val="22"/>
              </w:rPr>
              <w:t>78%</w:t>
            </w:r>
          </w:p>
        </w:tc>
        <w:tc>
          <w:tcPr>
            <w:tcW w:w="1620"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9A3B92" w14:paraId="48609BA0" w14:textId="0498A035">
            <w:pPr>
              <w:jc w:val="center"/>
              <w:rPr>
                <w:sz w:val="22"/>
                <w:szCs w:val="22"/>
              </w:rPr>
            </w:pPr>
            <w:r w:rsidRPr="55049CAB" w:rsidR="149EFEA8">
              <w:rPr>
                <w:sz w:val="22"/>
                <w:szCs w:val="22"/>
              </w:rPr>
              <w:t>20</w:t>
            </w:r>
            <w:r w:rsidRPr="55049CAB" w:rsidR="149EFEA8">
              <w:rPr>
                <w:sz w:val="22"/>
                <w:szCs w:val="22"/>
              </w:rPr>
              <w:t>%</w:t>
            </w:r>
          </w:p>
        </w:tc>
      </w:tr>
      <w:tr w:rsidR="007B658D" w:rsidTr="55049CAB" w14:paraId="4C99A50A" w14:textId="77777777">
        <w:tblPrEx>
          <w:tblCellMar>
            <w:top w:w="0" w:type="dxa"/>
            <w:bottom w:w="0" w:type="dxa"/>
          </w:tblCellMar>
        </w:tblPrEx>
        <w:tc>
          <w:tcPr>
            <w:tcW w:w="430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tcPr>
          <w:p w:rsidR="007B658D" w:rsidP="55B564BB" w:rsidRDefault="00000000" w14:paraId="3A49EE1C" w14:textId="77777777">
            <w:pPr>
              <w:rPr>
                <w:sz w:val="22"/>
                <w:szCs w:val="22"/>
              </w:rPr>
            </w:pPr>
            <w:r w:rsidRPr="55B564BB">
              <w:rPr>
                <w:sz w:val="22"/>
                <w:szCs w:val="22"/>
              </w:rPr>
              <w:t>Policy and legal change</w:t>
            </w:r>
          </w:p>
        </w:tc>
        <w:tc>
          <w:tcPr>
            <w:tcW w:w="184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000000" w14:paraId="41407EB7" w14:textId="77777777">
            <w:pPr>
              <w:jc w:val="center"/>
              <w:rPr>
                <w:sz w:val="22"/>
                <w:szCs w:val="22"/>
              </w:rPr>
            </w:pPr>
            <w:r w:rsidRPr="55049CAB" w:rsidR="3DD368D3">
              <w:rPr>
                <w:sz w:val="22"/>
                <w:szCs w:val="22"/>
              </w:rPr>
              <w:t>60%</w:t>
            </w:r>
          </w:p>
        </w:tc>
        <w:tc>
          <w:tcPr>
            <w:tcW w:w="1620"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2F736A" w14:paraId="624A0473" w14:textId="66EF016E">
            <w:pPr>
              <w:jc w:val="center"/>
              <w:rPr>
                <w:sz w:val="22"/>
                <w:szCs w:val="22"/>
              </w:rPr>
            </w:pPr>
            <w:r w:rsidRPr="55049CAB" w:rsidR="28BD639E">
              <w:rPr>
                <w:sz w:val="22"/>
                <w:szCs w:val="22"/>
              </w:rPr>
              <w:t>15</w:t>
            </w:r>
            <w:r w:rsidRPr="55049CAB" w:rsidR="28BD639E">
              <w:rPr>
                <w:sz w:val="22"/>
                <w:szCs w:val="22"/>
              </w:rPr>
              <w:t>%</w:t>
            </w:r>
          </w:p>
        </w:tc>
      </w:tr>
      <w:tr w:rsidR="007B658D" w:rsidTr="55049CAB" w14:paraId="3CC023BE" w14:textId="77777777">
        <w:tblPrEx>
          <w:tblCellMar>
            <w:top w:w="0" w:type="dxa"/>
            <w:bottom w:w="0" w:type="dxa"/>
          </w:tblCellMar>
        </w:tblPrEx>
        <w:tc>
          <w:tcPr>
            <w:tcW w:w="430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tcPr>
          <w:p w:rsidR="007B658D" w:rsidP="55B564BB" w:rsidRDefault="00000000" w14:paraId="3D5D54BD" w14:textId="77777777">
            <w:pPr>
              <w:rPr>
                <w:sz w:val="22"/>
                <w:szCs w:val="22"/>
              </w:rPr>
            </w:pPr>
            <w:r w:rsidRPr="55B564BB">
              <w:rPr>
                <w:sz w:val="22"/>
                <w:szCs w:val="22"/>
              </w:rPr>
              <w:t>Communications</w:t>
            </w:r>
          </w:p>
        </w:tc>
        <w:tc>
          <w:tcPr>
            <w:tcW w:w="184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000000" w14:paraId="4088A3E9" w14:textId="77777777">
            <w:pPr>
              <w:jc w:val="center"/>
              <w:rPr>
                <w:sz w:val="22"/>
                <w:szCs w:val="22"/>
              </w:rPr>
            </w:pPr>
            <w:r w:rsidRPr="55049CAB" w:rsidR="3DD368D3">
              <w:rPr>
                <w:sz w:val="22"/>
                <w:szCs w:val="22"/>
              </w:rPr>
              <w:t>47%</w:t>
            </w:r>
          </w:p>
        </w:tc>
        <w:tc>
          <w:tcPr>
            <w:tcW w:w="1620"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000000" w14:paraId="550505E6" w14:textId="77777777">
            <w:pPr>
              <w:jc w:val="center"/>
              <w:rPr>
                <w:sz w:val="22"/>
                <w:szCs w:val="22"/>
              </w:rPr>
            </w:pPr>
            <w:r w:rsidRPr="55049CAB" w:rsidR="3DD368D3">
              <w:rPr>
                <w:sz w:val="22"/>
                <w:szCs w:val="22"/>
              </w:rPr>
              <w:t>4%</w:t>
            </w:r>
          </w:p>
        </w:tc>
      </w:tr>
      <w:tr w:rsidR="007B658D" w:rsidTr="55049CAB" w14:paraId="75762ACB" w14:textId="77777777">
        <w:tblPrEx>
          <w:tblCellMar>
            <w:top w:w="0" w:type="dxa"/>
            <w:bottom w:w="0" w:type="dxa"/>
          </w:tblCellMar>
        </w:tblPrEx>
        <w:tc>
          <w:tcPr>
            <w:tcW w:w="430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tcPr>
          <w:p w:rsidR="007B658D" w:rsidP="55B564BB" w:rsidRDefault="00000000" w14:paraId="32280C09" w14:textId="77777777">
            <w:pPr>
              <w:rPr>
                <w:sz w:val="22"/>
                <w:szCs w:val="22"/>
              </w:rPr>
            </w:pPr>
            <w:r w:rsidRPr="55B564BB">
              <w:rPr>
                <w:sz w:val="22"/>
                <w:szCs w:val="22"/>
              </w:rPr>
              <w:t>Community organizing</w:t>
            </w:r>
          </w:p>
        </w:tc>
        <w:tc>
          <w:tcPr>
            <w:tcW w:w="184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000000" w14:paraId="45629135" w14:textId="77777777">
            <w:pPr>
              <w:jc w:val="center"/>
              <w:rPr>
                <w:sz w:val="22"/>
                <w:szCs w:val="22"/>
              </w:rPr>
            </w:pPr>
            <w:r w:rsidRPr="55049CAB" w:rsidR="3DD368D3">
              <w:rPr>
                <w:sz w:val="22"/>
                <w:szCs w:val="22"/>
              </w:rPr>
              <w:t>50%</w:t>
            </w:r>
          </w:p>
        </w:tc>
        <w:tc>
          <w:tcPr>
            <w:tcW w:w="1620"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9A3B92" w14:paraId="71697338" w14:textId="2EBEEB89">
            <w:pPr>
              <w:jc w:val="center"/>
              <w:rPr>
                <w:sz w:val="22"/>
                <w:szCs w:val="22"/>
              </w:rPr>
            </w:pPr>
            <w:r w:rsidRPr="55049CAB" w:rsidR="149EFEA8">
              <w:rPr>
                <w:sz w:val="22"/>
                <w:szCs w:val="22"/>
              </w:rPr>
              <w:t>8</w:t>
            </w:r>
            <w:r w:rsidRPr="55049CAB" w:rsidR="149EFEA8">
              <w:rPr>
                <w:sz w:val="22"/>
                <w:szCs w:val="22"/>
              </w:rPr>
              <w:t>%</w:t>
            </w:r>
          </w:p>
        </w:tc>
      </w:tr>
      <w:tr w:rsidR="007B658D" w:rsidTr="55049CAB" w14:paraId="181D8067" w14:textId="77777777">
        <w:tblPrEx>
          <w:tblCellMar>
            <w:top w:w="0" w:type="dxa"/>
            <w:bottom w:w="0" w:type="dxa"/>
          </w:tblCellMar>
        </w:tblPrEx>
        <w:tc>
          <w:tcPr>
            <w:tcW w:w="430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tcPr>
          <w:p w:rsidR="007B658D" w:rsidP="55B564BB" w:rsidRDefault="00000000" w14:paraId="5154ACE6" w14:textId="77777777">
            <w:pPr>
              <w:rPr>
                <w:sz w:val="22"/>
                <w:szCs w:val="22"/>
              </w:rPr>
            </w:pPr>
            <w:r w:rsidRPr="55B564BB">
              <w:rPr>
                <w:sz w:val="22"/>
                <w:szCs w:val="22"/>
              </w:rPr>
              <w:t>Organizational management</w:t>
            </w:r>
          </w:p>
        </w:tc>
        <w:tc>
          <w:tcPr>
            <w:tcW w:w="1845"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000000" w14:paraId="3879D6D6" w14:textId="77777777">
            <w:pPr>
              <w:jc w:val="center"/>
              <w:rPr>
                <w:sz w:val="22"/>
                <w:szCs w:val="22"/>
              </w:rPr>
            </w:pPr>
            <w:r w:rsidRPr="55049CAB" w:rsidR="3DD368D3">
              <w:rPr>
                <w:sz w:val="22"/>
                <w:szCs w:val="22"/>
              </w:rPr>
              <w:t>40%</w:t>
            </w:r>
          </w:p>
        </w:tc>
        <w:tc>
          <w:tcPr>
            <w:tcW w:w="1620" w:type="dxa"/>
            <w:tcBorders>
              <w:top w:val="single" w:color="B0B0B0" w:sz="1" w:space="0"/>
              <w:left w:val="single" w:color="B0B0B0" w:sz="1" w:space="0"/>
              <w:bottom w:val="single" w:color="B0B0B0" w:sz="1" w:space="0"/>
              <w:right w:val="single" w:color="B0B0B0" w:sz="1" w:space="0"/>
            </w:tcBorders>
            <w:tcMar>
              <w:top w:w="80" w:type="dxa"/>
              <w:left w:w="120" w:type="dxa"/>
              <w:bottom w:w="80" w:type="dxa"/>
              <w:right w:w="120" w:type="dxa"/>
            </w:tcMar>
            <w:vAlign w:val="center"/>
          </w:tcPr>
          <w:p w:rsidR="007B658D" w:rsidP="55049CAB" w:rsidRDefault="009A3B92" w14:paraId="35339D12" w14:textId="634FDD89">
            <w:pPr>
              <w:jc w:val="center"/>
              <w:rPr>
                <w:sz w:val="22"/>
                <w:szCs w:val="22"/>
              </w:rPr>
            </w:pPr>
            <w:r w:rsidRPr="55049CAB" w:rsidR="149EFEA8">
              <w:rPr>
                <w:sz w:val="22"/>
                <w:szCs w:val="22"/>
              </w:rPr>
              <w:t>8</w:t>
            </w:r>
            <w:r w:rsidRPr="55049CAB" w:rsidR="149EFEA8">
              <w:rPr>
                <w:sz w:val="22"/>
                <w:szCs w:val="22"/>
              </w:rPr>
              <w:t>%</w:t>
            </w:r>
          </w:p>
        </w:tc>
      </w:tr>
      <w:tr w:rsidR="007B658D" w:rsidTr="55049CAB" w14:paraId="6C49BA91" w14:textId="77777777">
        <w:tblPrEx>
          <w:tblCellMar>
            <w:top w:w="0" w:type="dxa"/>
            <w:bottom w:w="0" w:type="dxa"/>
          </w:tblCellMar>
        </w:tblPrEx>
        <w:tc>
          <w:tcPr>
            <w:tcW w:w="4305" w:type="dxa"/>
            <w:tcBorders>
              <w:top w:val="single" w:color="B0B0B0" w:sz="1" w:space="0"/>
              <w:left w:val="single" w:color="B0B0B0" w:sz="1" w:space="0"/>
              <w:bottom w:val="single" w:color="B0B0B0" w:sz="1" w:space="0"/>
              <w:right w:val="single" w:color="B0B0B0" w:sz="1" w:space="0"/>
            </w:tcBorders>
            <w:shd w:val="clear" w:color="auto" w:fill="FFFF00"/>
            <w:tcMar>
              <w:top w:w="80" w:type="dxa"/>
              <w:left w:w="120" w:type="dxa"/>
              <w:bottom w:w="80" w:type="dxa"/>
              <w:right w:w="120" w:type="dxa"/>
            </w:tcMar>
          </w:tcPr>
          <w:p w:rsidR="007B658D" w:rsidP="55B564BB" w:rsidRDefault="00000000" w14:paraId="3ED3A01F" w14:textId="77777777">
            <w:pPr>
              <w:rPr>
                <w:sz w:val="22"/>
                <w:szCs w:val="22"/>
              </w:rPr>
            </w:pPr>
            <w:r w:rsidRPr="55B564BB">
              <w:rPr>
                <w:sz w:val="22"/>
                <w:szCs w:val="22"/>
              </w:rPr>
              <w:t>Safeguarding</w:t>
            </w:r>
          </w:p>
        </w:tc>
        <w:tc>
          <w:tcPr>
            <w:tcW w:w="1845" w:type="dxa"/>
            <w:tcBorders>
              <w:top w:val="single" w:color="B0B0B0" w:sz="1" w:space="0"/>
              <w:left w:val="single" w:color="B0B0B0" w:sz="1" w:space="0"/>
              <w:bottom w:val="single" w:color="B0B0B0" w:sz="1" w:space="0"/>
              <w:right w:val="single" w:color="B0B0B0" w:sz="1" w:space="0"/>
            </w:tcBorders>
            <w:shd w:val="clear" w:color="auto" w:fill="FFFF00"/>
            <w:tcMar>
              <w:top w:w="80" w:type="dxa"/>
              <w:left w:w="120" w:type="dxa"/>
              <w:bottom w:w="80" w:type="dxa"/>
              <w:right w:w="120" w:type="dxa"/>
            </w:tcMar>
            <w:vAlign w:val="center"/>
          </w:tcPr>
          <w:p w:rsidR="007B658D" w:rsidP="55049CAB" w:rsidRDefault="00000000" w14:paraId="57B2A1A6" w14:textId="77777777">
            <w:pPr>
              <w:jc w:val="center"/>
              <w:rPr>
                <w:sz w:val="22"/>
                <w:szCs w:val="22"/>
              </w:rPr>
            </w:pPr>
            <w:r w:rsidRPr="55049CAB" w:rsidR="3DD368D3">
              <w:rPr>
                <w:sz w:val="22"/>
                <w:szCs w:val="22"/>
              </w:rPr>
              <w:t>5%</w:t>
            </w:r>
          </w:p>
        </w:tc>
        <w:tc>
          <w:tcPr>
            <w:tcW w:w="1620" w:type="dxa"/>
            <w:tcBorders>
              <w:top w:val="single" w:color="B0B0B0" w:sz="1" w:space="0"/>
              <w:left w:val="single" w:color="B0B0B0" w:sz="1" w:space="0"/>
              <w:bottom w:val="single" w:color="B0B0B0" w:sz="1" w:space="0"/>
              <w:right w:val="single" w:color="B0B0B0" w:sz="1" w:space="0"/>
            </w:tcBorders>
            <w:shd w:val="clear" w:color="auto" w:fill="FFFF00"/>
            <w:tcMar>
              <w:top w:w="80" w:type="dxa"/>
              <w:left w:w="120" w:type="dxa"/>
              <w:bottom w:w="80" w:type="dxa"/>
              <w:right w:w="120" w:type="dxa"/>
            </w:tcMar>
            <w:vAlign w:val="center"/>
          </w:tcPr>
          <w:p w:rsidR="007B658D" w:rsidP="55049CAB" w:rsidRDefault="00000000" w14:paraId="7AF035B8" w14:textId="77777777">
            <w:pPr>
              <w:jc w:val="center"/>
              <w:rPr>
                <w:sz w:val="22"/>
                <w:szCs w:val="22"/>
              </w:rPr>
            </w:pPr>
            <w:r w:rsidRPr="55049CAB" w:rsidR="3DD368D3">
              <w:rPr>
                <w:sz w:val="22"/>
                <w:szCs w:val="22"/>
              </w:rPr>
              <w:t>12%</w:t>
            </w:r>
          </w:p>
        </w:tc>
      </w:tr>
    </w:tbl>
    <w:p w:rsidR="007B658D" w:rsidP="00237ED4" w:rsidRDefault="00000000" w14:paraId="63874E13" w14:textId="56AEFB58">
      <w:pPr>
        <w:spacing w:before="240" w:after="160" w:line="300" w:lineRule="auto"/>
      </w:pPr>
      <w:r w:rsidR="3DD368D3">
        <w:rPr/>
        <w:t>Safeguarding is</w:t>
      </w:r>
      <w:r w:rsidR="02B5C1AC">
        <w:rPr/>
        <w:t xml:space="preserve"> the</w:t>
      </w:r>
      <w:r w:rsidR="3DD368D3">
        <w:rPr/>
        <w:t xml:space="preserve"> exception.</w:t>
      </w:r>
      <w:r w:rsidR="3DD368D3">
        <w:rPr/>
        <w:t xml:space="preserve"> More OPDs build internal safeguarding capacity (12%) than share it externally (5%). This reverse pattern is worth exploring with partners.</w:t>
      </w:r>
    </w:p>
    <w:p w:rsidR="007B658D" w:rsidRDefault="00237ED4" w14:paraId="4D06632D" w14:textId="2EE31517">
      <w:pPr>
        <w:pStyle w:val="Heading2"/>
      </w:pPr>
      <w:bookmarkStart w:name="_Toc578477684" w:id="1314501788"/>
      <w:r w:rsidR="5E434726">
        <w:rPr/>
        <w:t xml:space="preserve">5. </w:t>
      </w:r>
      <w:r w:rsidR="5E434726">
        <w:rPr/>
        <w:t>Crisis Response Uses the Same Tools as Everyday Work</w:t>
      </w:r>
      <w:bookmarkEnd w:id="1314501788"/>
    </w:p>
    <w:p w:rsidR="00237ED4" w:rsidP="00237ED4" w:rsidRDefault="00000000" w14:paraId="2E556FDC" w14:textId="19A43C25">
      <w:pPr>
        <w:spacing w:after="160" w:line="300" w:lineRule="auto"/>
      </w:pPr>
      <w:r w:rsidR="3DD368D3">
        <w:rPr/>
        <w:t xml:space="preserve">Thirty-nine percent of respondents described working in crisis or humanitarian settings. </w:t>
      </w:r>
      <w:r w:rsidR="5E434726">
        <w:rPr/>
        <w:t>Of these respondents, almost half</w:t>
      </w:r>
      <w:r w:rsidR="5E434726">
        <w:rPr/>
        <w:t xml:space="preserve"> </w:t>
      </w:r>
      <w:r w:rsidR="5E434726">
        <w:rPr/>
        <w:t xml:space="preserve">noted </w:t>
      </w:r>
      <w:r w:rsidR="5E434726">
        <w:rPr/>
        <w:t>partnering with climate organizations</w:t>
      </w:r>
      <w:r w:rsidR="5E434726">
        <w:rPr/>
        <w:t>, making c</w:t>
      </w:r>
      <w:r w:rsidR="5E434726">
        <w:rPr/>
        <w:t>limate justice the strongest area of crisis-related collaboration</w:t>
      </w:r>
      <w:r w:rsidR="2D40A148">
        <w:rPr/>
        <w:t>.</w:t>
      </w:r>
    </w:p>
    <w:p w:rsidR="007B658D" w:rsidRDefault="00237ED4" w14:paraId="09179F9A" w14:textId="4DA9F32F">
      <w:pPr>
        <w:spacing w:after="160" w:line="300" w:lineRule="auto"/>
      </w:pPr>
      <w:r>
        <w:t xml:space="preserve">Overall, </w:t>
      </w:r>
      <w:r>
        <w:t xml:space="preserve">collaboration and learning patterns are </w:t>
      </w:r>
      <w:r>
        <w:t>very</w:t>
      </w:r>
      <w:r>
        <w:t xml:space="preserve"> similar to other OPDs. This suggests OPDs do not have a distinct crisis mode</w:t>
      </w:r>
      <w:r>
        <w:t xml:space="preserve">, </w:t>
      </w:r>
      <w:r>
        <w:t>they respond using the same tools they use for all their work: joint advocacy, capacity building, and peer learning.</w:t>
      </w:r>
      <w:r>
        <w:t xml:space="preserve"> </w:t>
      </w:r>
    </w:p>
    <w:p w:rsidR="009A3B92" w:rsidP="009A3B92" w:rsidRDefault="00237ED4" w14:paraId="2B3AA2CA" w14:textId="293BE552">
      <w:pPr>
        <w:pStyle w:val="Heading2"/>
      </w:pPr>
      <w:bookmarkStart w:name="_Toc363125208" w:id="432207781"/>
      <w:r w:rsidR="5E434726">
        <w:rPr/>
        <w:t>6</w:t>
      </w:r>
      <w:r w:rsidR="149EFEA8">
        <w:rPr/>
        <w:t>. OPDs Protect Policy Gains, Not Just Win Them</w:t>
      </w:r>
      <w:bookmarkEnd w:id="432207781"/>
    </w:p>
    <w:p w:rsidR="009A3B92" w:rsidP="009A3B92" w:rsidRDefault="009A3B92" w14:paraId="0383D6D5" w14:textId="70022131">
      <w:pPr>
        <w:spacing w:after="160" w:line="300" w:lineRule="auto"/>
      </w:pPr>
      <w:r>
        <w:t xml:space="preserve">OPDs are engaged across the full policy cycle. Ninety-two percent are pushing for new policy changes, while 85% monitor whether existing policies are being implemented. </w:t>
      </w:r>
      <w:r w:rsidR="00E3155F">
        <w:t>Most common is j</w:t>
      </w:r>
      <w:r>
        <w:t>oint advocacy (82%) and work directly with government ministries or parliament</w:t>
      </w:r>
      <w:r w:rsidR="00E3155F">
        <w:t xml:space="preserve"> (42%)</w:t>
      </w:r>
      <w:r>
        <w:t>.</w:t>
      </w:r>
    </w:p>
    <w:p w:rsidR="009A3B92" w:rsidP="009A3B92" w:rsidRDefault="009A3B92" w14:paraId="5DB973D0" w14:textId="362DC86E">
      <w:pPr>
        <w:spacing w:after="160" w:line="300" w:lineRule="auto"/>
      </w:pPr>
      <w:r>
        <w:t>The context for this work is getting harder. OPD respondents described a closing funding ecosystem and a changing legal landscape that requires more deliberate planning.</w:t>
      </w:r>
      <w:r w:rsidR="00237ED4">
        <w:t xml:space="preserve"> </w:t>
      </w:r>
    </w:p>
    <w:p w:rsidRPr="00237ED4" w:rsidR="00237ED4" w:rsidP="00237ED4" w:rsidRDefault="00237ED4" w14:paraId="62035F8F" w14:textId="51191A2A">
      <w:pPr>
        <w:spacing w:after="160" w:line="300" w:lineRule="auto"/>
        <w:ind w:left="720" w:right="540"/>
        <w:rPr>
          <w:color w:val="501549" w:themeColor="accent5" w:themeShade="80"/>
        </w:rPr>
      </w:pPr>
      <w:r w:rsidRPr="55049CAB" w:rsidR="5E434726">
        <w:rPr>
          <w:rStyle w:val="normaltextrun"/>
          <w:i w:val="1"/>
          <w:iCs w:val="1"/>
          <w:color w:val="501549" w:themeColor="accent5" w:themeShade="80"/>
          <w:shd w:val="clear" w:color="auto" w:fill="FFFFFF"/>
        </w:rPr>
        <w:t xml:space="preserve">“As we grow and operate within a closing funding ecosystem, we've had to make intentional and thoughtful decisions about what practices we are able to fully implement and/or maintain -- wanting to both honor the budget, and the communities we serve. . </w:t>
      </w:r>
      <w:r w:rsidRPr="55049CAB" w:rsidR="2D40A148">
        <w:rPr>
          <w:rStyle w:val="normaltextrun"/>
          <w:i w:val="1"/>
          <w:iCs w:val="1"/>
          <w:color w:val="501549" w:themeColor="accent5" w:themeShade="80"/>
          <w:shd w:val="clear" w:color="auto" w:fill="FFFFFF"/>
        </w:rPr>
        <w:t>. [this]</w:t>
      </w:r>
      <w:r w:rsidRPr="55049CAB" w:rsidR="5E434726">
        <w:rPr>
          <w:rStyle w:val="normaltextrun"/>
          <w:i w:val="1"/>
          <w:iCs w:val="1"/>
          <w:color w:val="501549" w:themeColor="accent5" w:themeShade="80"/>
          <w:shd w:val="clear" w:color="auto" w:fill="FFFFFF"/>
        </w:rPr>
        <w:t xml:space="preserve"> means sometimes we must pause and carefully evaluate any potential implications of implementing new ways of working.”</w:t>
      </w:r>
      <w:r w:rsidRPr="00237ED4" w:rsidR="5E434726">
        <w:rPr>
          <w:rStyle w:val="eop"/>
          <w:color w:val="501549" w:themeColor="accent5" w:themeShade="80"/>
          <w:shd w:val="clear" w:color="auto" w:fill="FFFFFF"/>
        </w:rPr>
        <w:t> </w:t>
      </w:r>
    </w:p>
    <w:p w:rsidR="00E3155F" w:rsidP="00E3155F" w:rsidRDefault="00E3155F" w14:paraId="04A6EB2D" w14:textId="33B1AF5B">
      <w:pPr>
        <w:spacing w:after="160" w:line="300" w:lineRule="auto"/>
      </w:pPr>
      <w:r w:rsidR="2D40A148">
        <w:rPr/>
        <w:t xml:space="preserve">Emerging OPDs are </w:t>
      </w:r>
      <w:r w:rsidR="2D40A148">
        <w:rPr/>
        <w:t>nearly as</w:t>
      </w:r>
      <w:r w:rsidR="2D40A148">
        <w:rPr/>
        <w:t xml:space="preserve"> active as established ones: 80% do joint advocacy</w:t>
      </w:r>
      <w:r w:rsidR="0520C524">
        <w:rPr/>
        <w:t>, compared to</w:t>
      </w:r>
      <w:r w:rsidR="2D40A148">
        <w:rPr/>
        <w:t xml:space="preserve"> 82% overall.</w:t>
      </w:r>
    </w:p>
    <w:p w:rsidR="007B658D" w:rsidRDefault="00237ED4" w14:paraId="7916FF9D" w14:textId="5C856600">
      <w:pPr>
        <w:pStyle w:val="Heading2"/>
      </w:pPr>
      <w:bookmarkStart w:name="_Toc462699311" w:id="791365939"/>
      <w:r w:rsidR="5E434726">
        <w:rPr/>
        <w:t>7</w:t>
      </w:r>
      <w:r w:rsidR="5E434726">
        <w:rPr/>
        <w:t>. The Movement Is Building Collective Power</w:t>
      </w:r>
      <w:bookmarkEnd w:id="791365939"/>
    </w:p>
    <w:p w:rsidR="007B658D" w:rsidRDefault="00000000" w14:paraId="025923F3" w14:textId="1A1F8744">
      <w:pPr>
        <w:spacing w:after="160" w:line="300" w:lineRule="auto"/>
      </w:pPr>
      <w:r w:rsidR="3DD368D3">
        <w:rPr/>
        <w:t>Nearly all OPDs (97%) show signs of building collective power</w:t>
      </w:r>
      <w:r w:rsidR="06573CC9">
        <w:rPr/>
        <w:t xml:space="preserve">, </w:t>
      </w:r>
      <w:r w:rsidR="3DD368D3">
        <w:rPr/>
        <w:t xml:space="preserve">combining broad partnerships with mutual support, community organizing, or joint planning. Movement legitimacy is also strong: 92% show institutional recognition through government engagement </w:t>
      </w:r>
      <w:r w:rsidR="71B7E5D1">
        <w:rPr/>
        <w:t>or</w:t>
      </w:r>
      <w:r w:rsidR="3DD368D3">
        <w:rPr/>
        <w:t xml:space="preserve"> public visibility.</w:t>
      </w:r>
    </w:p>
    <w:p w:rsidR="007B658D" w:rsidRDefault="00000000" w14:paraId="30C4C2C6" w14:textId="77777777">
      <w:pPr>
        <w:spacing w:after="160" w:line="300" w:lineRule="auto"/>
      </w:pPr>
      <w:r>
        <w:t>Importantly, movement strengthening goes beyond advocacy wins. One-third of OPDs engage in mutual support or collective care, and more than a third described their work through an intersectional lens related to gender, climate, indigenous rights, or LGBTQI+ movements.</w:t>
      </w:r>
    </w:p>
    <w:p w:rsidR="007B658D" w:rsidRDefault="00000000" w14:paraId="3F9BC04E" w14:textId="46F2E6C5">
      <w:pPr>
        <w:pStyle w:val="Heading1"/>
      </w:pPr>
      <w:bookmarkStart w:name="_Toc986895150" w:id="40868086"/>
      <w:r w:rsidR="3DD368D3">
        <w:rPr/>
        <w:t xml:space="preserve">What </w:t>
      </w:r>
      <w:r w:rsidR="526633F4">
        <w:rPr/>
        <w:t>OPDs</w:t>
      </w:r>
      <w:r w:rsidR="3DD368D3">
        <w:rPr/>
        <w:t xml:space="preserve"> Told </w:t>
      </w:r>
      <w:r w:rsidR="099C90A4">
        <w:rPr/>
        <w:t>DRF</w:t>
      </w:r>
      <w:bookmarkEnd w:id="40868086"/>
    </w:p>
    <w:p w:rsidR="1B03B1D2" w:rsidP="55049CAB" w:rsidRDefault="1B03B1D2" w14:paraId="55D4C0CF" w14:textId="2DB07742">
      <w:pPr>
        <w:spacing w:after="160"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Almost all</w:t>
      </w:r>
      <w:r w:rsidRPr="55049CAB" w:rsidR="2B7FAE6B">
        <w:rPr>
          <w:rFonts w:ascii="Arial" w:hAnsi="Arial" w:eastAsia="Arial" w:cs="Arial"/>
          <w:b w:val="0"/>
          <w:bCs w:val="0"/>
          <w:i w:val="0"/>
          <w:iCs w:val="0"/>
          <w:caps w:val="0"/>
          <w:smallCaps w:val="0"/>
          <w:noProof w:val="0"/>
          <w:color w:val="1A1A1A"/>
          <w:sz w:val="22"/>
          <w:szCs w:val="22"/>
          <w:lang w:val="en-US"/>
        </w:rPr>
        <w:t xml:space="preserve"> OPD</w:t>
      </w:r>
      <w:r w:rsidRPr="55049CAB" w:rsidR="53716800">
        <w:rPr>
          <w:rFonts w:ascii="Arial" w:hAnsi="Arial" w:eastAsia="Arial" w:cs="Arial"/>
          <w:b w:val="0"/>
          <w:bCs w:val="0"/>
          <w:i w:val="0"/>
          <w:iCs w:val="0"/>
          <w:caps w:val="0"/>
          <w:smallCaps w:val="0"/>
          <w:noProof w:val="0"/>
          <w:color w:val="1A1A1A"/>
          <w:sz w:val="22"/>
          <w:szCs w:val="22"/>
          <w:lang w:val="en-US"/>
        </w:rPr>
        <w:t xml:space="preserve"> respondents (93%)</w:t>
      </w:r>
      <w:r w:rsidRPr="55049CAB" w:rsidR="2B7FAE6B">
        <w:rPr>
          <w:rFonts w:ascii="Arial" w:hAnsi="Arial" w:eastAsia="Arial" w:cs="Arial"/>
          <w:b w:val="0"/>
          <w:bCs w:val="0"/>
          <w:i w:val="0"/>
          <w:iCs w:val="0"/>
          <w:caps w:val="0"/>
          <w:smallCaps w:val="0"/>
          <w:noProof w:val="0"/>
          <w:color w:val="1A1A1A"/>
          <w:sz w:val="22"/>
          <w:szCs w:val="22"/>
          <w:lang w:val="en-US"/>
        </w:rPr>
        <w:t xml:space="preserve"> said the DRF partnership helps them beyond money.</w:t>
      </w:r>
      <w:r w:rsidRPr="55049CAB" w:rsidR="2B7FAE6B">
        <w:rPr>
          <w:rFonts w:ascii="Arial" w:hAnsi="Arial" w:eastAsia="Arial" w:cs="Arial"/>
          <w:b w:val="0"/>
          <w:bCs w:val="0"/>
          <w:i w:val="0"/>
          <w:iCs w:val="0"/>
          <w:caps w:val="0"/>
          <w:smallCaps w:val="0"/>
          <w:noProof w:val="0"/>
          <w:color w:val="1A1A1A"/>
          <w:sz w:val="22"/>
          <w:szCs w:val="22"/>
          <w:lang w:val="en-US"/>
        </w:rPr>
        <w:t xml:space="preserve"> In addition, t</w:t>
      </w:r>
      <w:r w:rsidRPr="55049CAB" w:rsidR="2B7FAE6B">
        <w:rPr>
          <w:rFonts w:ascii="Arial" w:hAnsi="Arial" w:eastAsia="Arial" w:cs="Arial"/>
          <w:b w:val="0"/>
          <w:bCs w:val="0"/>
          <w:i w:val="0"/>
          <w:iCs w:val="0"/>
          <w:caps w:val="0"/>
          <w:smallCaps w:val="0"/>
          <w:noProof w:val="0"/>
          <w:color w:val="1A1A1A"/>
          <w:sz w:val="22"/>
          <w:szCs w:val="22"/>
          <w:lang w:val="en-US"/>
        </w:rPr>
        <w:t>he things OPDs value most from DRF are:</w:t>
      </w:r>
    </w:p>
    <w:p w:rsidR="1B03B1D2" w:rsidP="55049CAB" w:rsidRDefault="1B03B1D2" w14:paraId="74B4F252" w14:textId="736F8F83">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The money DRF provides</w:t>
      </w:r>
    </w:p>
    <w:p w:rsidR="1B03B1D2" w:rsidP="55049CAB" w:rsidRDefault="1B03B1D2" w14:paraId="06C0FEC9" w14:textId="4815772B">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 xml:space="preserve">The </w:t>
      </w:r>
      <w:r w:rsidRPr="55049CAB" w:rsidR="2B7FAE6B">
        <w:rPr>
          <w:rFonts w:ascii="Arial" w:hAnsi="Arial" w:eastAsia="Arial" w:cs="Arial"/>
          <w:b w:val="0"/>
          <w:bCs w:val="0"/>
          <w:i w:val="0"/>
          <w:iCs w:val="0"/>
          <w:caps w:val="0"/>
          <w:smallCaps w:val="0"/>
          <w:noProof w:val="0"/>
          <w:color w:val="1A1A1A"/>
          <w:sz w:val="22"/>
          <w:szCs w:val="22"/>
          <w:lang w:val="en-US"/>
        </w:rPr>
        <w:t>relationship</w:t>
      </w:r>
      <w:r w:rsidRPr="55049CAB" w:rsidR="2B7FAE6B">
        <w:rPr>
          <w:rFonts w:ascii="Arial" w:hAnsi="Arial" w:eastAsia="Arial" w:cs="Arial"/>
          <w:b w:val="0"/>
          <w:bCs w:val="0"/>
          <w:i w:val="0"/>
          <w:iCs w:val="0"/>
          <w:caps w:val="0"/>
          <w:smallCaps w:val="0"/>
          <w:noProof w:val="0"/>
          <w:color w:val="1A1A1A"/>
          <w:sz w:val="22"/>
          <w:szCs w:val="22"/>
          <w:lang w:val="en-US"/>
        </w:rPr>
        <w:t xml:space="preserve"> with DRF</w:t>
      </w:r>
    </w:p>
    <w:p w:rsidR="1B03B1D2" w:rsidP="55049CAB" w:rsidRDefault="1B03B1D2" w14:paraId="687F702E" w14:textId="2D158104">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 xml:space="preserve">Help to </w:t>
      </w:r>
      <w:r w:rsidRPr="55049CAB" w:rsidR="2B7FAE6B">
        <w:rPr>
          <w:rFonts w:ascii="Arial" w:hAnsi="Arial" w:eastAsia="Arial" w:cs="Arial"/>
          <w:b w:val="0"/>
          <w:bCs w:val="0"/>
          <w:i w:val="0"/>
          <w:iCs w:val="0"/>
          <w:caps w:val="0"/>
          <w:smallCaps w:val="0"/>
          <w:noProof w:val="0"/>
          <w:color w:val="1A1A1A"/>
          <w:sz w:val="22"/>
          <w:szCs w:val="22"/>
          <w:lang w:val="en-US"/>
        </w:rPr>
        <w:t>make their organizations stronger</w:t>
      </w:r>
    </w:p>
    <w:p w:rsidR="1B03B1D2" w:rsidP="55049CAB" w:rsidRDefault="1B03B1D2" w14:paraId="78D2A39A" w14:textId="0AA2F57E">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Technical help</w:t>
      </w:r>
    </w:p>
    <w:p w:rsidR="1B03B1D2" w:rsidP="55049CAB" w:rsidRDefault="1B03B1D2" w14:paraId="1D581801" w14:textId="7FB68E48">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 xml:space="preserve">Opportunities to </w:t>
      </w:r>
      <w:r w:rsidRPr="55049CAB" w:rsidR="2B7FAE6B">
        <w:rPr>
          <w:rFonts w:ascii="Arial" w:hAnsi="Arial" w:eastAsia="Arial" w:cs="Arial"/>
          <w:b w:val="0"/>
          <w:bCs w:val="0"/>
          <w:i w:val="0"/>
          <w:iCs w:val="0"/>
          <w:caps w:val="0"/>
          <w:smallCaps w:val="0"/>
          <w:noProof w:val="0"/>
          <w:color w:val="1A1A1A"/>
          <w:sz w:val="22"/>
          <w:szCs w:val="22"/>
          <w:lang w:val="en-US"/>
        </w:rPr>
        <w:t>learn with others</w:t>
      </w:r>
    </w:p>
    <w:p w:rsidR="1B03B1D2" w:rsidP="55049CAB" w:rsidRDefault="1B03B1D2" w14:paraId="666A1563" w14:textId="1096C657">
      <w:pPr>
        <w:pStyle w:val="Normal"/>
        <w:spacing w:before="160" w:beforeAutospacing="off" w:after="40" w:afterAutospacing="off" w:line="300" w:lineRule="auto"/>
        <w:rPr>
          <w:rFonts w:ascii="Arial" w:hAnsi="Arial" w:eastAsia="Arial" w:cs="Arial"/>
          <w:b w:val="0"/>
          <w:bCs w:val="0"/>
          <w:i w:val="0"/>
          <w:iCs w:val="0"/>
          <w:caps w:val="0"/>
          <w:smallCaps w:val="0"/>
          <w:noProof w:val="0"/>
          <w:color w:val="1A1A1A"/>
          <w:sz w:val="22"/>
          <w:szCs w:val="22"/>
          <w:lang w:val="en-US"/>
        </w:rPr>
      </w:pPr>
      <w:r w:rsidR="3B29E633">
        <w:rPr/>
        <w:t xml:space="preserve">When asked how DRF can better support the movement, </w:t>
      </w:r>
      <w:r w:rsidRPr="55049CAB" w:rsidR="2B7FAE6B">
        <w:rPr>
          <w:rFonts w:ascii="Arial" w:hAnsi="Arial" w:eastAsia="Arial" w:cs="Arial"/>
          <w:b w:val="0"/>
          <w:bCs w:val="0"/>
          <w:i w:val="0"/>
          <w:iCs w:val="0"/>
          <w:caps w:val="0"/>
          <w:smallCaps w:val="0"/>
          <w:noProof w:val="0"/>
          <w:color w:val="1A1A1A"/>
          <w:sz w:val="22"/>
          <w:szCs w:val="22"/>
          <w:lang w:val="en-US"/>
        </w:rPr>
        <w:t>OPDs said DRF could help more by:</w:t>
      </w:r>
    </w:p>
    <w:p w:rsidR="1B03B1D2" w:rsidP="55049CAB" w:rsidRDefault="1B03B1D2" w14:paraId="7FE231D7" w14:textId="35D79AEB">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Giving more technical support</w:t>
      </w:r>
    </w:p>
    <w:p w:rsidR="1B03B1D2" w:rsidP="55049CAB" w:rsidRDefault="1B03B1D2" w14:paraId="075E6EC5" w14:textId="4D4D49F6">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Giving longer grants or more money</w:t>
      </w:r>
    </w:p>
    <w:p w:rsidR="1B03B1D2" w:rsidP="55049CAB" w:rsidRDefault="1B03B1D2" w14:paraId="323522D0" w14:textId="0A9E184D">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Creating more opportunities to learn from each other</w:t>
      </w:r>
    </w:p>
    <w:p w:rsidR="1B03B1D2" w:rsidP="55049CAB" w:rsidRDefault="1B03B1D2" w14:paraId="3EEB4DF3" w14:textId="755B2527">
      <w:pPr>
        <w:spacing w:before="160" w:beforeAutospacing="off"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OPDs also gave suggestions for making DRF’s work more accessible. The most common suggestions were:</w:t>
      </w:r>
    </w:p>
    <w:p w:rsidR="1B03B1D2" w:rsidP="55049CAB" w:rsidRDefault="1B03B1D2" w14:paraId="771C246D" w14:textId="67BB9DD2">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More sign language and captioning</w:t>
      </w:r>
    </w:p>
    <w:p w:rsidR="1B03B1D2" w:rsidP="55049CAB" w:rsidRDefault="1B03B1D2" w14:paraId="70B4AA2D" w14:textId="17F5FA50">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Translating materials into local languages</w:t>
      </w:r>
    </w:p>
    <w:p w:rsidR="1B03B1D2" w:rsidP="55049CAB" w:rsidRDefault="1B03B1D2" w14:paraId="438C719E" w14:textId="19D2C6BC">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Making websites and digital tools easier to use</w:t>
      </w:r>
    </w:p>
    <w:p w:rsidR="1B03B1D2" w:rsidP="55049CAB" w:rsidRDefault="1B03B1D2" w14:paraId="0A4180E0" w14:textId="1D8E23DA">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Better support for screen readers and braille</w:t>
      </w:r>
    </w:p>
    <w:p w:rsidR="1B03B1D2" w:rsidP="55049CAB" w:rsidRDefault="1B03B1D2" w14:paraId="11BFF73A" w14:textId="71AFABE8">
      <w:pPr>
        <w:pStyle w:val="Normal"/>
        <w:numPr>
          <w:ilvl w:val="0"/>
          <w:numId w:val="3"/>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2B7FAE6B">
        <w:rPr>
          <w:rFonts w:ascii="Arial" w:hAnsi="Arial" w:eastAsia="Arial" w:cs="Arial"/>
          <w:b w:val="0"/>
          <w:bCs w:val="0"/>
          <w:i w:val="0"/>
          <w:iCs w:val="0"/>
          <w:caps w:val="0"/>
          <w:smallCaps w:val="0"/>
          <w:noProof w:val="0"/>
          <w:color w:val="1A1A1A"/>
          <w:sz w:val="22"/>
          <w:szCs w:val="22"/>
          <w:lang w:val="en-US"/>
        </w:rPr>
        <w:t>More easy-to-read materials</w:t>
      </w:r>
    </w:p>
    <w:p w:rsidR="007B658D" w:rsidRDefault="00000000" w14:paraId="742DE374" w14:textId="7BEB152C">
      <w:pPr>
        <w:pStyle w:val="Heading1"/>
      </w:pPr>
      <w:bookmarkStart w:name="_Toc1284313614" w:id="794802902"/>
      <w:r w:rsidR="3DD368D3">
        <w:rPr/>
        <w:t xml:space="preserve">What DRF </w:t>
      </w:r>
      <w:r w:rsidR="38CC5D3D">
        <w:rPr/>
        <w:t>Will Consider Based</w:t>
      </w:r>
      <w:r w:rsidR="3DD368D3">
        <w:rPr/>
        <w:t xml:space="preserve"> </w:t>
      </w:r>
      <w:r w:rsidR="38CC5D3D">
        <w:rPr/>
        <w:t xml:space="preserve">on </w:t>
      </w:r>
      <w:r w:rsidR="73A0ED01">
        <w:rPr/>
        <w:t>OPD</w:t>
      </w:r>
      <w:r w:rsidR="38CC5D3D">
        <w:rPr/>
        <w:t xml:space="preserve"> Input</w:t>
      </w:r>
      <w:bookmarkEnd w:id="794802902"/>
    </w:p>
    <w:p w:rsidR="007B658D" w:rsidRDefault="00000000" w14:paraId="1F7BD00E" w14:textId="6F3D89CE">
      <w:pPr>
        <w:spacing w:after="160" w:line="300" w:lineRule="auto"/>
      </w:pPr>
      <w:r>
        <w:rPr/>
        <w:t xml:space="preserve">DRF will use this data </w:t>
      </w:r>
      <w:r w:rsidR="003C69ED">
        <w:rPr/>
        <w:t xml:space="preserve">to consider </w:t>
      </w:r>
      <w:r>
        <w:rPr/>
        <w:t xml:space="preserve">the following </w:t>
      </w:r>
      <w:r w:rsidR="003C69ED">
        <w:rPr/>
        <w:t>recommendations</w:t>
      </w:r>
      <w:r>
        <w:rPr/>
        <w:t>:</w:t>
      </w:r>
    </w:p>
    <w:p w:rsidR="07D5E251" w:rsidP="55049CAB" w:rsidRDefault="07D5E251" w14:paraId="4DCCDD9F" w14:textId="0E3D10A4">
      <w:pPr>
        <w:pStyle w:val="ListParagraph"/>
        <w:numPr>
          <w:ilvl w:val="0"/>
          <w:numId w:val="2"/>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0B0ECB10">
        <w:rPr>
          <w:rFonts w:ascii="Arial" w:hAnsi="Arial" w:eastAsia="Arial" w:cs="Arial"/>
          <w:b w:val="0"/>
          <w:bCs w:val="0"/>
          <w:i w:val="0"/>
          <w:iCs w:val="0"/>
          <w:caps w:val="0"/>
          <w:smallCaps w:val="0"/>
          <w:noProof w:val="0"/>
          <w:color w:val="1A1A1A"/>
          <w:sz w:val="22"/>
          <w:szCs w:val="22"/>
          <w:lang w:val="en-US"/>
        </w:rPr>
        <w:t>Talk with OPD partners abou</w:t>
      </w:r>
      <w:r w:rsidRPr="55049CAB" w:rsidR="0B0ECB10">
        <w:rPr>
          <w:rFonts w:ascii="Arial" w:hAnsi="Arial" w:eastAsia="Arial" w:cs="Arial"/>
          <w:b w:val="0"/>
          <w:bCs w:val="0"/>
          <w:i w:val="0"/>
          <w:iCs w:val="0"/>
          <w:caps w:val="0"/>
          <w:smallCaps w:val="0"/>
          <w:noProof w:val="0"/>
          <w:color w:val="1A1A1A"/>
          <w:sz w:val="22"/>
          <w:szCs w:val="22"/>
          <w:lang w:val="en-US"/>
        </w:rPr>
        <w:t xml:space="preserve">t why it is harder to </w:t>
      </w:r>
      <w:r w:rsidRPr="55049CAB" w:rsidR="0B0ECB10">
        <w:rPr>
          <w:rFonts w:ascii="Arial" w:hAnsi="Arial" w:eastAsia="Arial" w:cs="Arial"/>
          <w:b w:val="0"/>
          <w:bCs w:val="0"/>
          <w:i w:val="0"/>
          <w:iCs w:val="0"/>
          <w:caps w:val="0"/>
          <w:smallCaps w:val="0"/>
          <w:noProof w:val="0"/>
          <w:color w:val="1A1A1A"/>
          <w:sz w:val="22"/>
          <w:szCs w:val="22"/>
          <w:lang w:val="en-US"/>
        </w:rPr>
        <w:t>use</w:t>
      </w:r>
      <w:r w:rsidRPr="55049CAB" w:rsidR="0B0ECB10">
        <w:rPr>
          <w:rFonts w:ascii="Arial" w:hAnsi="Arial" w:eastAsia="Arial" w:cs="Arial"/>
          <w:b w:val="0"/>
          <w:bCs w:val="0"/>
          <w:i w:val="0"/>
          <w:iCs w:val="0"/>
          <w:caps w:val="0"/>
          <w:smallCaps w:val="0"/>
          <w:noProof w:val="0"/>
          <w:color w:val="1A1A1A"/>
          <w:sz w:val="22"/>
          <w:szCs w:val="22"/>
          <w:lang w:val="en-US"/>
        </w:rPr>
        <w:t xml:space="preserve"> knowledge from others than to </w:t>
      </w:r>
      <w:r w:rsidRPr="55049CAB" w:rsidR="0B0ECB10">
        <w:rPr>
          <w:rFonts w:ascii="Arial" w:hAnsi="Arial" w:eastAsia="Arial" w:cs="Arial"/>
          <w:b w:val="0"/>
          <w:bCs w:val="0"/>
          <w:i w:val="0"/>
          <w:iCs w:val="0"/>
          <w:caps w:val="0"/>
          <w:smallCaps w:val="0"/>
          <w:noProof w:val="0"/>
          <w:color w:val="1A1A1A"/>
          <w:sz w:val="22"/>
          <w:szCs w:val="22"/>
          <w:lang w:val="en-US"/>
        </w:rPr>
        <w:t>share</w:t>
      </w:r>
      <w:r w:rsidRPr="55049CAB" w:rsidR="0B0ECB10">
        <w:rPr>
          <w:rFonts w:ascii="Arial" w:hAnsi="Arial" w:eastAsia="Arial" w:cs="Arial"/>
          <w:b w:val="0"/>
          <w:bCs w:val="0"/>
          <w:i w:val="0"/>
          <w:iCs w:val="0"/>
          <w:caps w:val="0"/>
          <w:smallCaps w:val="0"/>
          <w:noProof w:val="0"/>
          <w:color w:val="1A1A1A"/>
          <w:sz w:val="22"/>
          <w:szCs w:val="22"/>
          <w:lang w:val="en-US"/>
        </w:rPr>
        <w:t xml:space="preserve"> it</w:t>
      </w:r>
      <w:r w:rsidRPr="55049CAB" w:rsidR="0B0ECB10">
        <w:rPr>
          <w:rFonts w:ascii="Arial" w:hAnsi="Arial" w:eastAsia="Arial" w:cs="Arial"/>
          <w:b w:val="0"/>
          <w:bCs w:val="0"/>
          <w:i w:val="0"/>
          <w:iCs w:val="0"/>
          <w:caps w:val="0"/>
          <w:smallCaps w:val="0"/>
          <w:noProof w:val="0"/>
          <w:color w:val="1A1A1A"/>
          <w:sz w:val="22"/>
          <w:szCs w:val="22"/>
          <w:lang w:val="en-US"/>
        </w:rPr>
        <w:t>. DRF wants to understand if this is a problem and what might help.</w:t>
      </w:r>
    </w:p>
    <w:p w:rsidR="07D5E251" w:rsidP="55049CAB" w:rsidRDefault="07D5E251" w14:paraId="04D57564" w14:textId="09F41AE3">
      <w:pPr>
        <w:pStyle w:val="ListParagraph"/>
        <w:numPr>
          <w:ilvl w:val="0"/>
          <w:numId w:val="2"/>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0B0ECB10">
        <w:rPr>
          <w:rFonts w:ascii="Arial" w:hAnsi="Arial" w:eastAsia="Arial" w:cs="Arial"/>
          <w:b w:val="0"/>
          <w:bCs w:val="0"/>
          <w:i w:val="0"/>
          <w:iCs w:val="0"/>
          <w:caps w:val="0"/>
          <w:smallCaps w:val="0"/>
          <w:noProof w:val="0"/>
          <w:color w:val="1A1A1A"/>
          <w:sz w:val="22"/>
          <w:szCs w:val="22"/>
          <w:lang w:val="en-US"/>
        </w:rPr>
        <w:t xml:space="preserve">Keep investing in </w:t>
      </w:r>
      <w:r w:rsidRPr="55049CAB" w:rsidR="0B0ECB10">
        <w:rPr>
          <w:rFonts w:ascii="Arial" w:hAnsi="Arial" w:eastAsia="Arial" w:cs="Arial"/>
          <w:b w:val="0"/>
          <w:bCs w:val="0"/>
          <w:i w:val="0"/>
          <w:iCs w:val="0"/>
          <w:caps w:val="0"/>
          <w:smallCaps w:val="0"/>
          <w:noProof w:val="0"/>
          <w:color w:val="1A1A1A"/>
          <w:sz w:val="22"/>
          <w:szCs w:val="22"/>
          <w:lang w:val="en-US"/>
        </w:rPr>
        <w:t>newer OPDs</w:t>
      </w:r>
      <w:r w:rsidRPr="55049CAB" w:rsidR="0B0ECB10">
        <w:rPr>
          <w:rFonts w:ascii="Arial" w:hAnsi="Arial" w:eastAsia="Arial" w:cs="Arial"/>
          <w:b w:val="0"/>
          <w:bCs w:val="0"/>
          <w:i w:val="0"/>
          <w:iCs w:val="0"/>
          <w:caps w:val="0"/>
          <w:smallCaps w:val="0"/>
          <w:noProof w:val="0"/>
          <w:color w:val="1A1A1A"/>
          <w:sz w:val="22"/>
          <w:szCs w:val="22"/>
          <w:lang w:val="en-US"/>
        </w:rPr>
        <w:t xml:space="preserve">. </w:t>
      </w:r>
    </w:p>
    <w:p w:rsidR="07D5E251" w:rsidP="55049CAB" w:rsidRDefault="07D5E251" w14:paraId="6FDB885F" w14:textId="26C5BBA3">
      <w:pPr>
        <w:pStyle w:val="ListParagraph"/>
        <w:numPr>
          <w:ilvl w:val="0"/>
          <w:numId w:val="2"/>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55049CAB" w:rsidR="4B5FAC49">
        <w:rPr>
          <w:rFonts w:ascii="Arial" w:hAnsi="Arial" w:eastAsia="Arial" w:cs="Arial"/>
          <w:b w:val="0"/>
          <w:bCs w:val="0"/>
          <w:i w:val="0"/>
          <w:iCs w:val="0"/>
          <w:caps w:val="0"/>
          <w:smallCaps w:val="0"/>
          <w:noProof w:val="0"/>
          <w:color w:val="1A1A1A"/>
          <w:sz w:val="22"/>
          <w:szCs w:val="22"/>
          <w:lang w:val="en-US"/>
        </w:rPr>
        <w:t xml:space="preserve">Consider </w:t>
      </w:r>
      <w:r w:rsidRPr="55049CAB" w:rsidR="0B0ECB10">
        <w:rPr>
          <w:rFonts w:ascii="Arial" w:hAnsi="Arial" w:eastAsia="Arial" w:cs="Arial"/>
          <w:b w:val="0"/>
          <w:bCs w:val="0"/>
          <w:i w:val="0"/>
          <w:iCs w:val="0"/>
          <w:caps w:val="0"/>
          <w:smallCaps w:val="0"/>
          <w:noProof w:val="0"/>
          <w:color w:val="1A1A1A"/>
          <w:sz w:val="22"/>
          <w:szCs w:val="22"/>
          <w:lang w:val="en-US"/>
        </w:rPr>
        <w:t xml:space="preserve">adding questions to the next survey about </w:t>
      </w:r>
      <w:r w:rsidRPr="55049CAB" w:rsidR="0B0ECB10">
        <w:rPr>
          <w:rFonts w:ascii="Arial" w:hAnsi="Arial" w:eastAsia="Arial" w:cs="Arial"/>
          <w:b w:val="0"/>
          <w:bCs w:val="0"/>
          <w:i w:val="0"/>
          <w:iCs w:val="0"/>
          <w:caps w:val="0"/>
          <w:smallCaps w:val="0"/>
          <w:noProof w:val="0"/>
          <w:color w:val="1A1A1A"/>
          <w:sz w:val="22"/>
          <w:szCs w:val="22"/>
          <w:lang w:val="en-US"/>
        </w:rPr>
        <w:t>safeguarding</w:t>
      </w:r>
      <w:r w:rsidRPr="55049CAB" w:rsidR="0B0ECB10">
        <w:rPr>
          <w:rFonts w:ascii="Arial" w:hAnsi="Arial" w:eastAsia="Arial" w:cs="Arial"/>
          <w:b w:val="0"/>
          <w:bCs w:val="0"/>
          <w:i w:val="0"/>
          <w:iCs w:val="0"/>
          <w:caps w:val="0"/>
          <w:smallCaps w:val="0"/>
          <w:noProof w:val="0"/>
          <w:color w:val="1A1A1A"/>
          <w:sz w:val="22"/>
          <w:szCs w:val="22"/>
          <w:lang w:val="en-US"/>
        </w:rPr>
        <w:t xml:space="preserve">, </w:t>
      </w:r>
      <w:r w:rsidRPr="55049CAB" w:rsidR="0B0ECB10">
        <w:rPr>
          <w:rFonts w:ascii="Arial" w:hAnsi="Arial" w:eastAsia="Arial" w:cs="Arial"/>
          <w:b w:val="0"/>
          <w:bCs w:val="0"/>
          <w:i w:val="0"/>
          <w:iCs w:val="0"/>
          <w:caps w:val="0"/>
          <w:smallCaps w:val="0"/>
          <w:noProof w:val="0"/>
          <w:color w:val="1A1A1A"/>
          <w:sz w:val="22"/>
          <w:szCs w:val="22"/>
          <w:lang w:val="en-US"/>
        </w:rPr>
        <w:t>barriers to working together</w:t>
      </w:r>
      <w:r w:rsidRPr="55049CAB" w:rsidR="0B0ECB10">
        <w:rPr>
          <w:rFonts w:ascii="Arial" w:hAnsi="Arial" w:eastAsia="Arial" w:cs="Arial"/>
          <w:b w:val="0"/>
          <w:bCs w:val="0"/>
          <w:i w:val="0"/>
          <w:iCs w:val="0"/>
          <w:caps w:val="0"/>
          <w:smallCaps w:val="0"/>
          <w:noProof w:val="0"/>
          <w:color w:val="1A1A1A"/>
          <w:sz w:val="22"/>
          <w:szCs w:val="22"/>
          <w:lang w:val="en-US"/>
        </w:rPr>
        <w:t xml:space="preserve">, and </w:t>
      </w:r>
      <w:r w:rsidRPr="55049CAB" w:rsidR="0B0ECB10">
        <w:rPr>
          <w:rFonts w:ascii="Arial" w:hAnsi="Arial" w:eastAsia="Arial" w:cs="Arial"/>
          <w:b w:val="0"/>
          <w:bCs w:val="0"/>
          <w:i w:val="0"/>
          <w:iCs w:val="0"/>
          <w:caps w:val="0"/>
          <w:smallCaps w:val="0"/>
          <w:noProof w:val="0"/>
          <w:color w:val="1A1A1A"/>
          <w:sz w:val="22"/>
          <w:szCs w:val="22"/>
          <w:lang w:val="en-US"/>
        </w:rPr>
        <w:t>democracy</w:t>
      </w:r>
      <w:r w:rsidRPr="55049CAB" w:rsidR="0B0ECB10">
        <w:rPr>
          <w:rFonts w:ascii="Arial" w:hAnsi="Arial" w:eastAsia="Arial" w:cs="Arial"/>
          <w:b w:val="0"/>
          <w:bCs w:val="0"/>
          <w:i w:val="0"/>
          <w:iCs w:val="0"/>
          <w:caps w:val="0"/>
          <w:smallCaps w:val="0"/>
          <w:noProof w:val="0"/>
          <w:color w:val="1A1A1A"/>
          <w:sz w:val="22"/>
          <w:szCs w:val="22"/>
          <w:lang w:val="en-US"/>
        </w:rPr>
        <w:t>.</w:t>
      </w:r>
    </w:p>
    <w:p w:rsidR="07D5E251" w:rsidP="430C119A" w:rsidRDefault="07D5E251" w14:paraId="62FF86AF" w14:textId="036C771C">
      <w:pPr>
        <w:pStyle w:val="ListParagraph"/>
        <w:numPr>
          <w:ilvl w:val="0"/>
          <w:numId w:val="2"/>
        </w:numPr>
        <w:spacing w:after="40" w:afterAutospacing="off" w:line="300" w:lineRule="auto"/>
        <w:rPr>
          <w:rFonts w:ascii="Arial" w:hAnsi="Arial" w:eastAsia="Arial" w:cs="Arial"/>
          <w:b w:val="0"/>
          <w:bCs w:val="0"/>
          <w:i w:val="0"/>
          <w:iCs w:val="0"/>
          <w:caps w:val="0"/>
          <w:smallCaps w:val="0"/>
          <w:noProof w:val="0"/>
          <w:color w:val="1A1A1A"/>
          <w:sz w:val="22"/>
          <w:szCs w:val="22"/>
          <w:lang w:val="en-US"/>
        </w:rPr>
      </w:pPr>
      <w:r w:rsidRPr="430C119A" w:rsidR="0B0ECB10">
        <w:rPr>
          <w:rFonts w:ascii="Arial" w:hAnsi="Arial" w:eastAsia="Arial" w:cs="Arial"/>
          <w:b w:val="0"/>
          <w:bCs w:val="0"/>
          <w:i w:val="0"/>
          <w:iCs w:val="0"/>
          <w:caps w:val="0"/>
          <w:smallCaps w:val="0"/>
          <w:noProof w:val="0"/>
          <w:color w:val="1A1A1A"/>
          <w:sz w:val="22"/>
          <w:szCs w:val="22"/>
          <w:lang w:val="en-US"/>
        </w:rPr>
        <w:t xml:space="preserve">Review </w:t>
      </w:r>
      <w:r w:rsidRPr="430C119A" w:rsidR="21A6B707">
        <w:rPr>
          <w:rFonts w:ascii="Arial" w:hAnsi="Arial" w:eastAsia="Arial" w:cs="Arial"/>
          <w:b w:val="0"/>
          <w:bCs w:val="0"/>
          <w:i w:val="0"/>
          <w:iCs w:val="0"/>
          <w:caps w:val="0"/>
          <w:smallCaps w:val="0"/>
          <w:noProof w:val="0"/>
          <w:color w:val="1A1A1A"/>
          <w:sz w:val="22"/>
          <w:szCs w:val="22"/>
          <w:lang w:val="en-US"/>
        </w:rPr>
        <w:t xml:space="preserve">DRF’s </w:t>
      </w:r>
      <w:r w:rsidRPr="430C119A" w:rsidR="0B0ECB10">
        <w:rPr>
          <w:rFonts w:ascii="Arial" w:hAnsi="Arial" w:eastAsia="Arial" w:cs="Arial"/>
          <w:b w:val="0"/>
          <w:bCs w:val="0"/>
          <w:i w:val="0"/>
          <w:iCs w:val="0"/>
          <w:caps w:val="0"/>
          <w:smallCaps w:val="0"/>
          <w:noProof w:val="0"/>
          <w:color w:val="1A1A1A"/>
          <w:sz w:val="22"/>
          <w:szCs w:val="22"/>
          <w:lang w:val="en-US"/>
        </w:rPr>
        <w:t>accessibility practices based on what OPDs suggested.</w:t>
      </w:r>
    </w:p>
    <w:sectPr w:rsidR="007B658D">
      <w:headerReference w:type="default" r:id="rId9"/>
      <w:footerReference w:type="default" r:id="rId10"/>
      <w:pgSz w:w="12240" w:h="15840" w:orient="portrait"/>
      <w:pgMar w:top="1440" w:right="144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B95" w:rsidRDefault="00520B95" w14:paraId="5BBEAED5" w14:textId="77777777">
      <w:r>
        <w:separator/>
      </w:r>
    </w:p>
  </w:endnote>
  <w:endnote w:type="continuationSeparator" w:id="0">
    <w:p w:rsidR="00520B95" w:rsidRDefault="00520B95" w14:paraId="44301D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58D" w:rsidRDefault="00000000" w14:paraId="718DE571" w14:textId="77777777">
    <w:pPr>
      <w:jc w:val="center"/>
    </w:pPr>
    <w:r>
      <w:rPr>
        <w:color w:val="4A4A4A"/>
        <w:sz w:val="18"/>
        <w:szCs w:val="18"/>
      </w:rPr>
      <w:t xml:space="preserve">Page </w:t>
    </w:r>
    <w:r>
      <w:rPr>
        <w:color w:val="4A4A4A"/>
        <w:sz w:val="18"/>
        <w:szCs w:val="18"/>
      </w:rPr>
      <w:fldChar w:fldCharType="begin"/>
    </w:r>
    <w:r>
      <w:rPr>
        <w:color w:val="4A4A4A"/>
        <w:sz w:val="18"/>
        <w:szCs w:val="18"/>
      </w:rPr>
      <w:instrText>PAGE</w:instrText>
    </w:r>
    <w:r>
      <w:rPr>
        <w:color w:val="4A4A4A"/>
        <w:sz w:val="18"/>
        <w:szCs w:val="18"/>
      </w:rPr>
      <w:fldChar w:fldCharType="separate"/>
    </w:r>
    <w:r w:rsidR="005C3317">
      <w:rPr>
        <w:noProof/>
        <w:color w:val="4A4A4A"/>
        <w:sz w:val="18"/>
        <w:szCs w:val="18"/>
      </w:rPr>
      <w:t>1</w:t>
    </w:r>
    <w:r>
      <w:rPr>
        <w:color w:val="4A4A4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B95" w:rsidRDefault="00520B95" w14:paraId="78255535" w14:textId="77777777">
      <w:r>
        <w:separator/>
      </w:r>
    </w:p>
  </w:footnote>
  <w:footnote w:type="continuationSeparator" w:id="0">
    <w:p w:rsidR="00520B95" w:rsidRDefault="00520B95" w14:paraId="5BBC19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58D" w:rsidRDefault="00000000" w14:paraId="19404674" w14:textId="77777777">
    <w:pPr>
      <w:jc w:val="right"/>
    </w:pPr>
    <w:r>
      <w:rPr>
        <w:color w:val="4A4A4A"/>
        <w:sz w:val="18"/>
        <w:szCs w:val="18"/>
      </w:rPr>
      <w:t>DRF 2026 AGS Grantee Feedback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e4146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60F740A"/>
    <w:multiLevelType w:val="hybridMultilevel"/>
    <w:tmpl w:val="CB66AA9A"/>
    <w:lvl w:ilvl="0" w:tplc="5D248A5A">
      <w:start w:val="1"/>
      <w:numFmt w:val="bullet"/>
      <w:lvlText w:val="•"/>
      <w:lvlJc w:val="left"/>
      <w:pPr>
        <w:ind w:left="720" w:hanging="360"/>
      </w:pPr>
    </w:lvl>
    <w:lvl w:ilvl="1" w:tplc="11FEC1DA">
      <w:numFmt w:val="decimal"/>
      <w:lvlText w:val=""/>
      <w:lvlJc w:val="left"/>
    </w:lvl>
    <w:lvl w:ilvl="2" w:tplc="84A2A806">
      <w:numFmt w:val="decimal"/>
      <w:lvlText w:val=""/>
      <w:lvlJc w:val="left"/>
    </w:lvl>
    <w:lvl w:ilvl="3" w:tplc="84E60CEE">
      <w:numFmt w:val="decimal"/>
      <w:lvlText w:val=""/>
      <w:lvlJc w:val="left"/>
    </w:lvl>
    <w:lvl w:ilvl="4" w:tplc="84B8EAD0">
      <w:numFmt w:val="decimal"/>
      <w:lvlText w:val=""/>
      <w:lvlJc w:val="left"/>
    </w:lvl>
    <w:lvl w:ilvl="5" w:tplc="BCE65C62">
      <w:numFmt w:val="decimal"/>
      <w:lvlText w:val=""/>
      <w:lvlJc w:val="left"/>
    </w:lvl>
    <w:lvl w:ilvl="6" w:tplc="87484528">
      <w:numFmt w:val="decimal"/>
      <w:lvlText w:val=""/>
      <w:lvlJc w:val="left"/>
    </w:lvl>
    <w:lvl w:ilvl="7" w:tplc="83BA155E">
      <w:numFmt w:val="decimal"/>
      <w:lvlText w:val=""/>
      <w:lvlJc w:val="left"/>
    </w:lvl>
    <w:lvl w:ilvl="8" w:tplc="FA6EF75E">
      <w:numFmt w:val="decimal"/>
      <w:lvlText w:val=""/>
      <w:lvlJc w:val="left"/>
    </w:lvl>
  </w:abstractNum>
  <w:abstractNum w:abstractNumId="1" w15:restartNumberingAfterBreak="0">
    <w:nsid w:val="63B43471"/>
    <w:multiLevelType w:val="hybridMultilevel"/>
    <w:tmpl w:val="44D042C0"/>
    <w:lvl w:ilvl="0" w:tplc="4432C8A6">
      <w:start w:val="1"/>
      <w:numFmt w:val="bullet"/>
      <w:lvlText w:val="●"/>
      <w:lvlJc w:val="left"/>
      <w:pPr>
        <w:ind w:left="720" w:hanging="360"/>
      </w:pPr>
    </w:lvl>
    <w:lvl w:ilvl="1" w:tplc="2ADA455E">
      <w:start w:val="1"/>
      <w:numFmt w:val="bullet"/>
      <w:lvlText w:val="○"/>
      <w:lvlJc w:val="left"/>
      <w:pPr>
        <w:ind w:left="1440" w:hanging="360"/>
      </w:pPr>
    </w:lvl>
    <w:lvl w:ilvl="2" w:tplc="74AE9ECE">
      <w:start w:val="1"/>
      <w:numFmt w:val="bullet"/>
      <w:lvlText w:val="■"/>
      <w:lvlJc w:val="left"/>
      <w:pPr>
        <w:ind w:left="2160" w:hanging="360"/>
      </w:pPr>
    </w:lvl>
    <w:lvl w:ilvl="3" w:tplc="C6D8D6F2">
      <w:start w:val="1"/>
      <w:numFmt w:val="bullet"/>
      <w:lvlText w:val="●"/>
      <w:lvlJc w:val="left"/>
      <w:pPr>
        <w:ind w:left="2880" w:hanging="360"/>
      </w:pPr>
    </w:lvl>
    <w:lvl w:ilvl="4" w:tplc="A6CED5B6">
      <w:start w:val="1"/>
      <w:numFmt w:val="bullet"/>
      <w:lvlText w:val="○"/>
      <w:lvlJc w:val="left"/>
      <w:pPr>
        <w:ind w:left="3600" w:hanging="360"/>
      </w:pPr>
    </w:lvl>
    <w:lvl w:ilvl="5" w:tplc="257460C0">
      <w:start w:val="1"/>
      <w:numFmt w:val="bullet"/>
      <w:lvlText w:val="■"/>
      <w:lvlJc w:val="left"/>
      <w:pPr>
        <w:ind w:left="4320" w:hanging="360"/>
      </w:pPr>
    </w:lvl>
    <w:lvl w:ilvl="6" w:tplc="FFA4DAB2">
      <w:start w:val="1"/>
      <w:numFmt w:val="bullet"/>
      <w:lvlText w:val="●"/>
      <w:lvlJc w:val="left"/>
      <w:pPr>
        <w:ind w:left="5040" w:hanging="360"/>
      </w:pPr>
    </w:lvl>
    <w:lvl w:ilvl="7" w:tplc="862E09B2">
      <w:start w:val="1"/>
      <w:numFmt w:val="bullet"/>
      <w:lvlText w:val="●"/>
      <w:lvlJc w:val="left"/>
      <w:pPr>
        <w:ind w:left="5760" w:hanging="360"/>
      </w:pPr>
    </w:lvl>
    <w:lvl w:ilvl="8" w:tplc="5810B178">
      <w:start w:val="1"/>
      <w:numFmt w:val="bullet"/>
      <w:lvlText w:val="●"/>
      <w:lvlJc w:val="left"/>
      <w:pPr>
        <w:ind w:left="6480" w:hanging="360"/>
      </w:pPr>
    </w:lvl>
  </w:abstractNum>
  <w:num w:numId="3">
    <w:abstractNumId w:val="2"/>
  </w:num>
  <w:num w:numId="1" w16cid:durableId="498811637">
    <w:abstractNumId w:val="1"/>
    <w:lvlOverride w:ilvl="0">
      <w:startOverride w:val="1"/>
    </w:lvlOverride>
  </w:num>
  <w:num w:numId="2" w16cid:durableId="42676587">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8D"/>
    <w:rsid w:val="00000000"/>
    <w:rsid w:val="00237ED4"/>
    <w:rsid w:val="002A3444"/>
    <w:rsid w:val="002F736A"/>
    <w:rsid w:val="003C69ED"/>
    <w:rsid w:val="00520B95"/>
    <w:rsid w:val="005A79F4"/>
    <w:rsid w:val="005C3317"/>
    <w:rsid w:val="00684F48"/>
    <w:rsid w:val="007B658D"/>
    <w:rsid w:val="00892E91"/>
    <w:rsid w:val="009A3B92"/>
    <w:rsid w:val="00B0143D"/>
    <w:rsid w:val="00CC685D"/>
    <w:rsid w:val="00CE672A"/>
    <w:rsid w:val="00E3155F"/>
    <w:rsid w:val="0263BF66"/>
    <w:rsid w:val="02B5C1AC"/>
    <w:rsid w:val="0335A261"/>
    <w:rsid w:val="0520C524"/>
    <w:rsid w:val="06573CC9"/>
    <w:rsid w:val="06D012DD"/>
    <w:rsid w:val="06F2538D"/>
    <w:rsid w:val="07D5E251"/>
    <w:rsid w:val="099C90A4"/>
    <w:rsid w:val="0B0ECB10"/>
    <w:rsid w:val="0B7D5B85"/>
    <w:rsid w:val="0DE2063D"/>
    <w:rsid w:val="0F865329"/>
    <w:rsid w:val="10C76DFC"/>
    <w:rsid w:val="149EFEA8"/>
    <w:rsid w:val="15489239"/>
    <w:rsid w:val="18161FD5"/>
    <w:rsid w:val="1B03B1D2"/>
    <w:rsid w:val="1B9112E3"/>
    <w:rsid w:val="2015A96F"/>
    <w:rsid w:val="21A6B707"/>
    <w:rsid w:val="21C55A50"/>
    <w:rsid w:val="2308C86D"/>
    <w:rsid w:val="28BD639E"/>
    <w:rsid w:val="2B7FAE6B"/>
    <w:rsid w:val="2D40A148"/>
    <w:rsid w:val="30915852"/>
    <w:rsid w:val="35BBAB4A"/>
    <w:rsid w:val="362A4648"/>
    <w:rsid w:val="37371D66"/>
    <w:rsid w:val="38CC5D3D"/>
    <w:rsid w:val="3B29E633"/>
    <w:rsid w:val="3B4CF857"/>
    <w:rsid w:val="3C329B4F"/>
    <w:rsid w:val="3DD368D3"/>
    <w:rsid w:val="3F76CA98"/>
    <w:rsid w:val="425C5F40"/>
    <w:rsid w:val="4288029F"/>
    <w:rsid w:val="430C119A"/>
    <w:rsid w:val="4B5FAC49"/>
    <w:rsid w:val="51C1FD0C"/>
    <w:rsid w:val="526633F4"/>
    <w:rsid w:val="5296BDAF"/>
    <w:rsid w:val="53716800"/>
    <w:rsid w:val="55049CAB"/>
    <w:rsid w:val="55B564BB"/>
    <w:rsid w:val="560D2A40"/>
    <w:rsid w:val="5812CC69"/>
    <w:rsid w:val="586A0FBC"/>
    <w:rsid w:val="5BF3D3D6"/>
    <w:rsid w:val="5C98A9CB"/>
    <w:rsid w:val="5C9F0F9F"/>
    <w:rsid w:val="5D42E44C"/>
    <w:rsid w:val="5E434726"/>
    <w:rsid w:val="608C8E8B"/>
    <w:rsid w:val="6259EFF2"/>
    <w:rsid w:val="64A154D3"/>
    <w:rsid w:val="67D738F0"/>
    <w:rsid w:val="68C716B4"/>
    <w:rsid w:val="68E904A0"/>
    <w:rsid w:val="69386A04"/>
    <w:rsid w:val="6AAF52B5"/>
    <w:rsid w:val="6BCEC449"/>
    <w:rsid w:val="6FA08927"/>
    <w:rsid w:val="71B7E5D1"/>
    <w:rsid w:val="73A0ED01"/>
    <w:rsid w:val="7404B010"/>
    <w:rsid w:val="7637D979"/>
    <w:rsid w:val="79ED7842"/>
    <w:rsid w:val="7C00AE68"/>
    <w:rsid w:val="7E4F6108"/>
    <w:rsid w:val="7F61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1C64DD"/>
  <w15:docId w15:val="{907406FF-A501-8448-ADF7-770860059F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200"/>
      <w:outlineLvl w:val="0"/>
    </w:pPr>
    <w:rPr>
      <w:b/>
      <w:bCs/>
      <w:color w:val="1B5E7B"/>
      <w:sz w:val="28"/>
      <w:szCs w:val="28"/>
    </w:rPr>
  </w:style>
  <w:style w:type="paragraph" w:styleId="Heading2">
    <w:name w:val="heading 2"/>
    <w:uiPriority w:val="9"/>
    <w:unhideWhenUsed/>
    <w:qFormat/>
    <w:pPr>
      <w:spacing w:before="280" w:after="160"/>
      <w:outlineLvl w:val="1"/>
    </w:pPr>
    <w:rPr>
      <w:b/>
      <w:bCs/>
      <w:color w:val="1B5E7B"/>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3317"/>
    <w:pPr>
      <w:tabs>
        <w:tab w:val="center" w:pos="4680"/>
        <w:tab w:val="right" w:pos="9360"/>
      </w:tabs>
    </w:pPr>
  </w:style>
  <w:style w:type="character" w:styleId="HeaderChar" w:customStyle="1">
    <w:name w:val="Header Char"/>
    <w:basedOn w:val="DefaultParagraphFont"/>
    <w:link w:val="Header"/>
    <w:uiPriority w:val="99"/>
    <w:rsid w:val="005C3317"/>
  </w:style>
  <w:style w:type="paragraph" w:styleId="Footer">
    <w:name w:val="footer"/>
    <w:basedOn w:val="Normal"/>
    <w:link w:val="FooterChar"/>
    <w:uiPriority w:val="99"/>
    <w:unhideWhenUsed/>
    <w:rsid w:val="005C3317"/>
    <w:pPr>
      <w:tabs>
        <w:tab w:val="center" w:pos="4680"/>
        <w:tab w:val="right" w:pos="9360"/>
      </w:tabs>
    </w:pPr>
  </w:style>
  <w:style w:type="character" w:styleId="FooterChar" w:customStyle="1">
    <w:name w:val="Footer Char"/>
    <w:basedOn w:val="DefaultParagraphFont"/>
    <w:link w:val="Footer"/>
    <w:uiPriority w:val="99"/>
    <w:rsid w:val="005C3317"/>
  </w:style>
  <w:style w:type="paragraph" w:styleId="TOCHeading">
    <w:name w:val="TOC Heading"/>
    <w:basedOn w:val="Heading1"/>
    <w:next w:val="Normal"/>
    <w:uiPriority w:val="39"/>
    <w:unhideWhenUsed/>
    <w:qFormat/>
    <w:rsid w:val="002A3444"/>
    <w:pPr>
      <w:keepNext/>
      <w:keepLines/>
      <w:spacing w:before="480" w:after="0" w:line="276" w:lineRule="auto"/>
      <w:outlineLvl w:val="9"/>
    </w:pPr>
    <w:rPr>
      <w:rFonts w:asciiTheme="majorHAnsi" w:hAnsiTheme="majorHAnsi" w:eastAsiaTheme="majorEastAsia" w:cstheme="majorBidi"/>
      <w:color w:val="0F4761" w:themeColor="accent1" w:themeShade="BF"/>
    </w:rPr>
  </w:style>
  <w:style w:type="paragraph" w:styleId="TOC1">
    <w:name w:val="toc 1"/>
    <w:basedOn w:val="Normal"/>
    <w:next w:val="Normal"/>
    <w:autoRedefine/>
    <w:uiPriority w:val="39"/>
    <w:unhideWhenUsed/>
    <w:rsid w:val="002A3444"/>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2A3444"/>
    <w:pPr>
      <w:spacing w:before="120"/>
      <w:ind w:left="220"/>
    </w:pPr>
    <w:rPr>
      <w:rFonts w:asciiTheme="minorHAnsi" w:hAnsiTheme="minorHAnsi"/>
      <w:b/>
      <w:bCs/>
    </w:rPr>
  </w:style>
  <w:style w:type="paragraph" w:styleId="TOC3">
    <w:name w:val="toc 3"/>
    <w:basedOn w:val="Normal"/>
    <w:next w:val="Normal"/>
    <w:autoRedefine/>
    <w:uiPriority w:val="39"/>
    <w:semiHidden/>
    <w:unhideWhenUsed/>
    <w:rsid w:val="002A3444"/>
    <w:pPr>
      <w:ind w:left="440"/>
    </w:pPr>
    <w:rPr>
      <w:rFonts w:asciiTheme="minorHAnsi" w:hAnsiTheme="minorHAnsi"/>
      <w:sz w:val="20"/>
      <w:szCs w:val="20"/>
    </w:rPr>
  </w:style>
  <w:style w:type="paragraph" w:styleId="TOC4">
    <w:name w:val="toc 4"/>
    <w:basedOn w:val="Normal"/>
    <w:next w:val="Normal"/>
    <w:autoRedefine/>
    <w:uiPriority w:val="39"/>
    <w:semiHidden/>
    <w:unhideWhenUsed/>
    <w:rsid w:val="002A3444"/>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A3444"/>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A3444"/>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A3444"/>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A3444"/>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A3444"/>
    <w:pPr>
      <w:ind w:left="1760"/>
    </w:pPr>
    <w:rPr>
      <w:rFonts w:asciiTheme="minorHAnsi" w:hAnsiTheme="minorHAnsi"/>
      <w:sz w:val="20"/>
      <w:szCs w:val="20"/>
    </w:rPr>
  </w:style>
  <w:style w:type="character" w:styleId="normaltextrun" w:customStyle="1">
    <w:name w:val="normaltextrun"/>
    <w:basedOn w:val="DefaultParagraphFont"/>
    <w:rsid w:val="00237ED4"/>
  </w:style>
  <w:style w:type="character" w:styleId="eop" w:customStyle="1">
    <w:name w:val="eop"/>
    <w:basedOn w:val="DefaultParagraphFont"/>
    <w:rsid w:val="0023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6D98ACDA2DAF429C556102D51BA9DD" ma:contentTypeVersion="13" ma:contentTypeDescription="Create a new document." ma:contentTypeScope="" ma:versionID="c89bfe110a6386b66336705bcfc0a8d2">
  <xsd:schema xmlns:xsd="http://www.w3.org/2001/XMLSchema" xmlns:xs="http://www.w3.org/2001/XMLSchema" xmlns:p="http://schemas.microsoft.com/office/2006/metadata/properties" xmlns:ns2="be240c68-9d92-48db-8a51-6c5264d9de25" xmlns:ns3="be39d354-04f7-4288-b933-2f279206bf9f" targetNamespace="http://schemas.microsoft.com/office/2006/metadata/properties" ma:root="true" ma:fieldsID="34a65402825c77d07210cb349c7a5b7d" ns2:_="" ns3:_="">
    <xsd:import namespace="be240c68-9d92-48db-8a51-6c5264d9de25"/>
    <xsd:import namespace="be39d354-04f7-4288-b933-2f279206bf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40c68-9d92-48db-8a51-6c5264d9d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8c4225-273c-4a16-8bf7-d672eda331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9d354-04f7-4288-b933-2f279206bf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2f4656-c541-49a3-a1ea-a64632cd1ccf}" ma:internalName="TaxCatchAll" ma:showField="CatchAllData" ma:web="be39d354-04f7-4288-b933-2f279206bf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240c68-9d92-48db-8a51-6c5264d9de25">
      <Terms xmlns="http://schemas.microsoft.com/office/infopath/2007/PartnerControls"/>
    </lcf76f155ced4ddcb4097134ff3c332f>
    <TaxCatchAll xmlns="be39d354-04f7-4288-b933-2f279206bf9f" xsi:nil="true"/>
  </documentManagement>
</p:properties>
</file>

<file path=customXml/itemProps1.xml><?xml version="1.0" encoding="utf-8"?>
<ds:datastoreItem xmlns:ds="http://schemas.openxmlformats.org/officeDocument/2006/customXml" ds:itemID="{B4C81C72-B1B8-1E47-AB0D-CA15D36F38A2}">
  <ds:schemaRefs>
    <ds:schemaRef ds:uri="http://schemas.openxmlformats.org/officeDocument/2006/bibliography"/>
  </ds:schemaRefs>
</ds:datastoreItem>
</file>

<file path=customXml/itemProps2.xml><?xml version="1.0" encoding="utf-8"?>
<ds:datastoreItem xmlns:ds="http://schemas.openxmlformats.org/officeDocument/2006/customXml" ds:itemID="{A793F5FE-A3EC-4DD9-91BE-128532914E6A}"/>
</file>

<file path=customXml/itemProps3.xml><?xml version="1.0" encoding="utf-8"?>
<ds:datastoreItem xmlns:ds="http://schemas.openxmlformats.org/officeDocument/2006/customXml" ds:itemID="{F3115108-0144-4622-9E96-A2C428701E1B}"/>
</file>

<file path=customXml/itemProps4.xml><?xml version="1.0" encoding="utf-8"?>
<ds:datastoreItem xmlns:ds="http://schemas.openxmlformats.org/officeDocument/2006/customXml" ds:itemID="{53DFC0CC-698B-4A22-9B25-10D6191C00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DRF 2026 Annual Grantee Survey - Grantee Feedback Report</dc:title>
  <dc:creator>Disability Rights Fund</dc:creator>
  <dc:description>Summary of the 2026 Annual Grantee Survey findings shared with OPD partners by the Disability Rights Fund.</dc:description>
  <cp:lastModifiedBy>Melanie Kawano-Chiu</cp:lastModifiedBy>
  <cp:revision>8</cp:revision>
  <dcterms:created xsi:type="dcterms:W3CDTF">2026-03-31T18:38:00Z</dcterms:created>
  <dcterms:modified xsi:type="dcterms:W3CDTF">2026-05-15T22:27:08Z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0x010100FD6D98ACDA2DAF429C556102D51BA9DD</vt:lpwstr>
  </property>
  <property fmtid="{D5CDD505-2E9C-101B-9397-08002B2CF9AE}" pid="3" name="MediaServiceImageTags">
    <vt:lpwstr/>
  </property>
</Properties>
</file>