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0EDC" w14:textId="77777777" w:rsidR="009379DF" w:rsidRPr="000E0B84" w:rsidRDefault="00C342F2">
      <w:pPr>
        <w:spacing w:after="200"/>
        <w:rPr>
          <w:noProof/>
          <w:lang w:val="id-ID"/>
        </w:rPr>
      </w:pPr>
      <w:r w:rsidRPr="000E0B84">
        <w:rPr>
          <w:b/>
          <w:bCs/>
          <w:noProof/>
          <w:sz w:val="36"/>
          <w:szCs w:val="36"/>
          <w:lang w:val="id-ID"/>
        </w:rPr>
        <w:t>Laporan Umpan Balik untuk Mitra</w:t>
      </w:r>
    </w:p>
    <w:p w14:paraId="66B6F5D8" w14:textId="77777777" w:rsidR="009379DF" w:rsidRPr="000E0B84" w:rsidRDefault="00C342F2">
      <w:pPr>
        <w:spacing w:after="400"/>
        <w:rPr>
          <w:noProof/>
          <w:lang w:val="id-ID"/>
        </w:rPr>
      </w:pPr>
      <w:r w:rsidRPr="000E0B84">
        <w:rPr>
          <w:b/>
          <w:bCs/>
          <w:noProof/>
          <w:sz w:val="28"/>
          <w:szCs w:val="28"/>
          <w:lang w:val="id-ID"/>
        </w:rPr>
        <w:t>Survei Penerima Hibah Tahunan 2026</w:t>
      </w:r>
    </w:p>
    <w:p w14:paraId="14025D47" w14:textId="77777777" w:rsidR="009379DF" w:rsidRPr="000E0B84" w:rsidRDefault="00C342F2">
      <w:pPr>
        <w:pStyle w:val="Heading1"/>
        <w:rPr>
          <w:noProof/>
          <w:lang w:val="id-ID"/>
        </w:rPr>
      </w:pPr>
      <w:r w:rsidRPr="000E0B84">
        <w:rPr>
          <w:noProof/>
          <w:lang w:val="id-ID"/>
        </w:rPr>
        <w:t>Apa Isi Laporan Ini</w:t>
      </w:r>
    </w:p>
    <w:p w14:paraId="39C11F4C" w14:textId="77777777" w:rsidR="009379DF" w:rsidRPr="000E0B84" w:rsidRDefault="00C342F2">
      <w:pPr>
        <w:spacing w:after="120"/>
        <w:rPr>
          <w:noProof/>
          <w:lang w:val="id-ID"/>
        </w:rPr>
      </w:pPr>
      <w:r w:rsidRPr="000E0B84">
        <w:rPr>
          <w:noProof/>
          <w:lang w:val="id-ID"/>
        </w:rPr>
        <w:t>Sejak 2019, Disability Rights Fund (DRF) telah membagikan temuan Survei Penerima Hibah Tahunannya (AGS) kepada organisasi-organisasi penyandang disabilitas (OPD) yang menjadi mitra. Laporan ini merangkum hasil AGS 2026 yang diselesaikan pada awal 2026. Laporan ini disusun dengan dukungan AI (Claude, Anthropic) dan seluruh hasilnya telah ditinjau dan dikoreksi oleh Direktur Pembelajaran dan Evaluasi DRF.</w:t>
      </w:r>
    </w:p>
    <w:p w14:paraId="40DA6A6B" w14:textId="77777777" w:rsidR="009379DF" w:rsidRPr="000E0B84" w:rsidRDefault="00C342F2">
      <w:pPr>
        <w:spacing w:after="120"/>
        <w:rPr>
          <w:noProof/>
          <w:lang w:val="id-ID"/>
        </w:rPr>
      </w:pPr>
      <w:r w:rsidRPr="000E0B84">
        <w:rPr>
          <w:noProof/>
          <w:lang w:val="id-ID"/>
        </w:rPr>
        <w:t>Survei 2026 adalah yang pertama yang mendukung Movement Outcome Framework DRF yang baru, yang berfokus pada kolaborasi, pembelajaran bersama, dan pembangunan gerakan. Seratus empat OPD merespons survei ini. Ini merupakan tingkat respons sebesar 86%, tertinggi sejak survei ini dimulai pada 2011. DRF berterima kasih kepada semua OPD mitra yang merespons survei ini. Masukan Anda membentuk bagaimana DRF mendukung gerakan hak-hak penyandang disabilitas. Laporan temuan lengkap tersedia atas permintaan.</w:t>
      </w:r>
    </w:p>
    <w:p w14:paraId="16317379" w14:textId="77777777" w:rsidR="009379DF" w:rsidRPr="000E0B84" w:rsidRDefault="00C342F2">
      <w:pPr>
        <w:pStyle w:val="Heading1"/>
        <w:rPr>
          <w:noProof/>
          <w:lang w:val="id-ID"/>
        </w:rPr>
      </w:pPr>
      <w:r w:rsidRPr="000E0B84">
        <w:rPr>
          <w:noProof/>
          <w:lang w:val="id-ID"/>
        </w:rPr>
        <w:t>Apa yang Ditanyakan Survei</w:t>
      </w:r>
    </w:p>
    <w:p w14:paraId="0227B251" w14:textId="77777777" w:rsidR="009379DF" w:rsidRPr="000E0B84" w:rsidRDefault="00C342F2">
      <w:pPr>
        <w:spacing w:after="120"/>
        <w:rPr>
          <w:noProof/>
          <w:lang w:val="id-ID"/>
        </w:rPr>
      </w:pPr>
      <w:r w:rsidRPr="000E0B84">
        <w:rPr>
          <w:noProof/>
          <w:lang w:val="id-ID"/>
        </w:rPr>
        <w:t>Survei 2026 terdiri dari tiga bagian utama: kolaborasi dengan organisasi lain, kontribusi dan penggunaan pembelajaran, serta kemitraan dengan DRF. Bagian-bagian ini menginformasikan tiga indikator dan empat pertanyaan pembelajaran dalam Movement Outcome Framework DRF. Tiga indikator tersebut mengukur apakah OPD berkolaborasi dengan organisasi lain (Indikator 1.1), berbagi pembelajaran dengan yang lain (Indikator 2.1), dan menerapkan apa yang mereka pelajari (Indikator 2.2). Empat pertanyaan pembelajaran men</w:t>
      </w:r>
      <w:r w:rsidRPr="000E0B84">
        <w:rPr>
          <w:noProof/>
          <w:lang w:val="id-ID"/>
        </w:rPr>
        <w:t>geksplorasi bagaimana OPD melindungi capaian kebijakan, membangun kapasitas dalam konteks krisis, memperkuat kekuatan kolektif, dan bagaimana pertumbuhan OPD secara individu turut membantu gerakan yang lebih luas.</w:t>
      </w:r>
    </w:p>
    <w:p w14:paraId="47F07A3C" w14:textId="77777777" w:rsidR="009379DF" w:rsidRPr="000E0B84" w:rsidRDefault="00C342F2">
      <w:pPr>
        <w:pStyle w:val="Heading1"/>
        <w:rPr>
          <w:noProof/>
          <w:lang w:val="id-ID"/>
        </w:rPr>
      </w:pPr>
      <w:r w:rsidRPr="000E0B84">
        <w:rPr>
          <w:noProof/>
          <w:lang w:val="id-ID"/>
        </w:rPr>
        <w:t>Apa yang Kami Pelajari</w:t>
      </w:r>
    </w:p>
    <w:p w14:paraId="6F8E1B19" w14:textId="77777777" w:rsidR="009379DF" w:rsidRPr="000E0B84" w:rsidRDefault="00C342F2">
      <w:pPr>
        <w:pStyle w:val="Heading2"/>
        <w:rPr>
          <w:noProof/>
          <w:lang w:val="id-ID"/>
        </w:rPr>
      </w:pPr>
      <w:r w:rsidRPr="000E0B84">
        <w:rPr>
          <w:noProof/>
          <w:lang w:val="id-ID"/>
        </w:rPr>
        <w:t>1. Pertumbuhan OPD Secara Individu Menghidupi Gerakan</w:t>
      </w:r>
    </w:p>
    <w:p w14:paraId="39B293FB" w14:textId="77777777" w:rsidR="009379DF" w:rsidRPr="000E0B84" w:rsidRDefault="00C342F2">
      <w:pPr>
        <w:spacing w:after="120"/>
        <w:rPr>
          <w:noProof/>
          <w:lang w:val="id-ID"/>
        </w:rPr>
      </w:pPr>
      <w:r w:rsidRPr="000E0B84">
        <w:rPr>
          <w:noProof/>
          <w:lang w:val="id-ID"/>
        </w:rPr>
        <w:t>Tujuh puluh tujuh OPD menggambarkan pertumbuhan kapasitas organisasi mereka, dan setiap salah satu dari mereka juga menunjukkan tanda-tanda berkontribusi pada gerakan yang lebih luas melalui advokasi bersama, pembangunan koalisi, atau dukungan sesama. OPD bertumbuh secara internal dan membagikan kapasitas tersebut ke luar melalui pelatihan (53%), pendampingan (35%), dan dengan menjadi ahli pada bidang tertentu (27%).</w:t>
      </w:r>
    </w:p>
    <w:p w14:paraId="12E3CE71" w14:textId="77777777" w:rsidR="009379DF" w:rsidRPr="000E0B84" w:rsidRDefault="00C342F2">
      <w:pPr>
        <w:spacing w:before="120" w:after="200"/>
        <w:ind w:left="720" w:right="720"/>
        <w:rPr>
          <w:noProof/>
          <w:lang w:val="id-ID"/>
        </w:rPr>
      </w:pPr>
      <w:r w:rsidRPr="000E0B84">
        <w:rPr>
          <w:i/>
          <w:iCs/>
          <w:noProof/>
          <w:lang w:val="id-ID"/>
        </w:rPr>
        <w:t>“DRF telah menjadi sumber pertumbuhan organisasi kami, visibilitas yang kuat, dan untuk memperoleh strategi advokasi yang kuat. Semua koneksi, kolaborasi, dan kemitraan yang kami miliki adalah hasil dari dana DRF yang setiap tahun meningkatkan visibilitas kami melalui proyek-proyek advokasi yang kami laksanakan.”</w:t>
      </w:r>
    </w:p>
    <w:p w14:paraId="487378C0" w14:textId="77777777" w:rsidR="009379DF" w:rsidRPr="000E0B84" w:rsidRDefault="00C342F2">
      <w:pPr>
        <w:spacing w:after="120"/>
        <w:rPr>
          <w:noProof/>
          <w:lang w:val="id-ID"/>
        </w:rPr>
      </w:pPr>
      <w:r w:rsidRPr="000E0B84">
        <w:rPr>
          <w:noProof/>
          <w:lang w:val="id-ID"/>
        </w:rPr>
        <w:lastRenderedPageBreak/>
        <w:t>Di antara OPD yang baru muncul (aktif kurang dari lima tahun), 76% melaporkan kolaborasi yang ekstensif. Kerja DRF dengan organisasi-organisasi yang lebih baru tampaknya berkontribusi cepat pada penguatan gerakan.</w:t>
      </w:r>
    </w:p>
    <w:p w14:paraId="10EC4454" w14:textId="77777777" w:rsidR="009379DF" w:rsidRPr="000E0B84" w:rsidRDefault="00C342F2">
      <w:pPr>
        <w:pStyle w:val="Heading2"/>
        <w:rPr>
          <w:noProof/>
          <w:lang w:val="id-ID"/>
        </w:rPr>
      </w:pPr>
      <w:r w:rsidRPr="000E0B84">
        <w:rPr>
          <w:noProof/>
          <w:lang w:val="id-ID"/>
        </w:rPr>
        <w:t>2. OPD Terhubung Secara Mendalam</w:t>
      </w:r>
    </w:p>
    <w:p w14:paraId="5306178B" w14:textId="77777777" w:rsidR="009379DF" w:rsidRPr="000E0B84" w:rsidRDefault="00C342F2">
      <w:pPr>
        <w:spacing w:after="120"/>
        <w:rPr>
          <w:noProof/>
          <w:lang w:val="id-ID"/>
        </w:rPr>
      </w:pPr>
      <w:r w:rsidRPr="000E0B84">
        <w:rPr>
          <w:noProof/>
          <w:lang w:val="id-ID"/>
        </w:rPr>
        <w:t>Delapan puluh satu persen OPD menggambarkan kolaborasi yang ekstensif atau sangat ekstensif, dan 88% bermitra dengan setidaknya satu organisasi di luar gerakan penyandang disabilitas. Mitra lintas-gerakan yang paling umum adalah organisasi hak-hak perempuan (70%), kelompok hak asasi manusia (68%), organisasi pemuda (53%), dan kelompok keadilan iklim (44%). Kegiatan utama yang dilakukan OPD bersama-sama adalah pembangunan kapasitas bersama (88%) dan advokasi bersama (82%). Hampir semua responden (97%) berenc</w:t>
      </w:r>
      <w:r w:rsidRPr="000E0B84">
        <w:rPr>
          <w:noProof/>
          <w:lang w:val="id-ID"/>
        </w:rPr>
        <w:t>ana untuk berkolaborasi di masa depan, seperti yang dikatakan oleh salah satu OPD:</w:t>
      </w:r>
    </w:p>
    <w:p w14:paraId="2BC1FED9" w14:textId="77777777" w:rsidR="009379DF" w:rsidRPr="000E0B84" w:rsidRDefault="00C342F2">
      <w:pPr>
        <w:spacing w:before="120" w:after="200"/>
        <w:ind w:left="720" w:right="720"/>
        <w:rPr>
          <w:noProof/>
          <w:lang w:val="id-ID"/>
        </w:rPr>
      </w:pPr>
      <w:r w:rsidRPr="000E0B84">
        <w:rPr>
          <w:i/>
          <w:iCs/>
          <w:noProof/>
          <w:lang w:val="id-ID"/>
        </w:rPr>
        <w:t>“Kami berencana untuk memiliki lebih banyak [kolaborasi dengan yang lain] karena hal ini menciptakan kerja sama tim dan satu suara dalam advokasi.”</w:t>
      </w:r>
    </w:p>
    <w:p w14:paraId="4C5A8C05" w14:textId="77777777" w:rsidR="009379DF" w:rsidRPr="000E0B84" w:rsidRDefault="00C342F2">
      <w:pPr>
        <w:pStyle w:val="Heading2"/>
        <w:rPr>
          <w:noProof/>
          <w:lang w:val="id-ID"/>
        </w:rPr>
      </w:pPr>
      <w:r w:rsidRPr="000E0B84">
        <w:rPr>
          <w:noProof/>
          <w:lang w:val="id-ID"/>
        </w:rPr>
        <w:t>3. OPD Berbagi Pengetahuan dengan Murah Hati</w:t>
      </w:r>
    </w:p>
    <w:p w14:paraId="48BA76B4" w14:textId="77777777" w:rsidR="009379DF" w:rsidRPr="000E0B84" w:rsidRDefault="00C342F2">
      <w:pPr>
        <w:spacing w:after="120"/>
        <w:rPr>
          <w:noProof/>
          <w:lang w:val="id-ID"/>
        </w:rPr>
      </w:pPr>
      <w:r w:rsidRPr="000E0B84">
        <w:rPr>
          <w:noProof/>
          <w:lang w:val="id-ID"/>
        </w:rPr>
        <w:t>Delapan puluh persen OPD memberikan kontribusi signifikan pada pembelajaran yang lain. Bidang yang paling banyak dibagikan adalah praktik aksesibilitas (79%) dan strategi advokasi (78%). OPD paling banyak berbagi di konferensi (56%), pelatihan (53%), dan pertukaran sesama (37%), sebagaimana dijelaskan oleh salah satu OPD:</w:t>
      </w:r>
    </w:p>
    <w:p w14:paraId="3468BDE5" w14:textId="77777777" w:rsidR="009379DF" w:rsidRPr="000E0B84" w:rsidRDefault="00C342F2">
      <w:pPr>
        <w:spacing w:before="120" w:after="200"/>
        <w:ind w:left="720" w:right="720"/>
        <w:rPr>
          <w:noProof/>
          <w:lang w:val="id-ID"/>
        </w:rPr>
      </w:pPr>
      <w:r w:rsidRPr="000E0B84">
        <w:rPr>
          <w:i/>
          <w:iCs/>
          <w:noProof/>
          <w:lang w:val="id-ID"/>
        </w:rPr>
        <w:t>“Sebagai salah satu organisasi yang baru muncul, kami lebih berfokus pada pembelajaran yang sudah ada di lapangan sejak lama . . . untuk menciptakan inklusi yang bermakna.”</w:t>
      </w:r>
    </w:p>
    <w:p w14:paraId="3149C040" w14:textId="77777777" w:rsidR="009379DF" w:rsidRPr="000E0B84" w:rsidRDefault="00C342F2">
      <w:pPr>
        <w:pStyle w:val="Heading2"/>
        <w:rPr>
          <w:noProof/>
          <w:lang w:val="id-ID"/>
        </w:rPr>
      </w:pPr>
      <w:r w:rsidRPr="000E0B84">
        <w:rPr>
          <w:noProof/>
          <w:lang w:val="id-ID"/>
        </w:rPr>
        <w:t>4. Menggunakan Apa yang Dipelajari dari yang Lain Lebih Sulit</w:t>
      </w:r>
    </w:p>
    <w:p w14:paraId="75612AB8" w14:textId="77777777" w:rsidR="009379DF" w:rsidRPr="000E0B84" w:rsidRDefault="00C342F2">
      <w:pPr>
        <w:spacing w:after="120"/>
        <w:rPr>
          <w:noProof/>
          <w:lang w:val="id-ID"/>
        </w:rPr>
      </w:pPr>
      <w:r w:rsidRPr="000E0B84">
        <w:rPr>
          <w:noProof/>
          <w:lang w:val="id-ID"/>
        </w:rPr>
        <w:t>Meskipun OPD berbagi pengetahuan secara luas, lebih sedikit yang menerapkan apa yang mereka pelajari dari yang lain. Lima puluh satu persen mengatakan mereka menggunakan banyak dari apa yang telah dipelajari, sementara 43% menggunakan sebagian. Di setiap bidang pengetahuan, kecuali safeguarding, lebih banyak OPD yang berbagi pengetahuan daripada menerapkannya, sebagaimana ditunjukkan pada tabel di bawah ini.</w:t>
      </w:r>
    </w:p>
    <w:p w14:paraId="2BB0BC06" w14:textId="77777777" w:rsidR="009379DF" w:rsidRPr="000E0B84" w:rsidRDefault="00C342F2">
      <w:pPr>
        <w:pStyle w:val="Heading3"/>
        <w:rPr>
          <w:noProof/>
          <w:lang w:val="id-ID"/>
        </w:rPr>
      </w:pPr>
      <w:r w:rsidRPr="000E0B84">
        <w:rPr>
          <w:noProof/>
          <w:lang w:val="id-ID"/>
        </w:rPr>
        <w:t>Tabel 1: Jumlah Pengetahuan yang Dibagikan vs. Diterapkan</w:t>
      </w:r>
    </w:p>
    <w:p w14:paraId="3629EA4D" w14:textId="77777777" w:rsidR="009379DF" w:rsidRPr="000E0B84" w:rsidRDefault="00C342F2">
      <w:pPr>
        <w:spacing w:after="120"/>
        <w:rPr>
          <w:noProof/>
          <w:lang w:val="id-ID"/>
        </w:rPr>
      </w:pPr>
      <w:r w:rsidRPr="000E0B84">
        <w:rPr>
          <w:b/>
          <w:bCs/>
          <w:noProof/>
          <w:lang w:val="id-ID"/>
        </w:rPr>
        <w:t xml:space="preserve">Deskripsi tabel: </w:t>
      </w:r>
      <w:r w:rsidRPr="000E0B84">
        <w:rPr>
          <w:noProof/>
          <w:lang w:val="id-ID"/>
        </w:rPr>
        <w:t>Tabel di bawah ini membandingkan persentase OPD yang membagikan pengetahuan mereka di tujuh bidang dengan persentase yang menerapkannya. Tabel memiliki tiga kolom: Bidang Pengetahuan, Dibagikan, dan Diterapkan. Tujuh baris data mengikuti baris header.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9379DF" w:rsidRPr="000E0B84" w14:paraId="17E3993C" w14:textId="77777777">
        <w:tblPrEx>
          <w:tblCellMar>
            <w:top w:w="0" w:type="dxa"/>
            <w:bottom w:w="0" w:type="dxa"/>
          </w:tblCellMar>
        </w:tblPrEx>
        <w:trPr>
          <w:tblHeader/>
        </w:trPr>
        <w:tc>
          <w:tcPr>
            <w:tcW w:w="4680" w:type="dxa"/>
            <w:tcBorders>
              <w:top w:val="single" w:sz="4" w:space="0" w:color="888888"/>
              <w:left w:val="single" w:sz="4" w:space="0" w:color="888888"/>
              <w:bottom w:val="single" w:sz="4" w:space="0" w:color="888888"/>
              <w:right w:val="single" w:sz="4" w:space="0" w:color="888888"/>
            </w:tcBorders>
            <w:shd w:val="clear" w:color="auto" w:fill="D5E8F0"/>
            <w:tcMar>
              <w:top w:w="100" w:type="dxa"/>
              <w:left w:w="140" w:type="dxa"/>
              <w:bottom w:w="100" w:type="dxa"/>
              <w:right w:w="140" w:type="dxa"/>
            </w:tcMar>
          </w:tcPr>
          <w:p w14:paraId="010E67B0" w14:textId="77777777" w:rsidR="009379DF" w:rsidRPr="000E0B84" w:rsidRDefault="00C342F2">
            <w:pPr>
              <w:rPr>
                <w:noProof/>
                <w:lang w:val="id-ID"/>
              </w:rPr>
            </w:pPr>
            <w:r w:rsidRPr="000E0B84">
              <w:rPr>
                <w:b/>
                <w:bCs/>
                <w:noProof/>
                <w:lang w:val="id-ID"/>
              </w:rPr>
              <w:t>Bidang Pengetahuan</w:t>
            </w:r>
          </w:p>
        </w:tc>
        <w:tc>
          <w:tcPr>
            <w:tcW w:w="2340" w:type="dxa"/>
            <w:tcBorders>
              <w:top w:val="single" w:sz="4" w:space="0" w:color="888888"/>
              <w:left w:val="single" w:sz="4" w:space="0" w:color="888888"/>
              <w:bottom w:val="single" w:sz="4" w:space="0" w:color="888888"/>
              <w:right w:val="single" w:sz="4" w:space="0" w:color="888888"/>
            </w:tcBorders>
            <w:shd w:val="clear" w:color="auto" w:fill="D5E8F0"/>
            <w:tcMar>
              <w:top w:w="100" w:type="dxa"/>
              <w:left w:w="140" w:type="dxa"/>
              <w:bottom w:w="100" w:type="dxa"/>
              <w:right w:w="140" w:type="dxa"/>
            </w:tcMar>
          </w:tcPr>
          <w:p w14:paraId="20AC8B01" w14:textId="77777777" w:rsidR="009379DF" w:rsidRPr="000E0B84" w:rsidRDefault="00C342F2">
            <w:pPr>
              <w:rPr>
                <w:noProof/>
                <w:lang w:val="id-ID"/>
              </w:rPr>
            </w:pPr>
            <w:r w:rsidRPr="000E0B84">
              <w:rPr>
                <w:b/>
                <w:bCs/>
                <w:noProof/>
                <w:lang w:val="id-ID"/>
              </w:rPr>
              <w:t>Dibagikan</w:t>
            </w:r>
          </w:p>
        </w:tc>
        <w:tc>
          <w:tcPr>
            <w:tcW w:w="2340" w:type="dxa"/>
            <w:tcBorders>
              <w:top w:val="single" w:sz="4" w:space="0" w:color="888888"/>
              <w:left w:val="single" w:sz="4" w:space="0" w:color="888888"/>
              <w:bottom w:val="single" w:sz="4" w:space="0" w:color="888888"/>
              <w:right w:val="single" w:sz="4" w:space="0" w:color="888888"/>
            </w:tcBorders>
            <w:shd w:val="clear" w:color="auto" w:fill="D5E8F0"/>
            <w:tcMar>
              <w:top w:w="100" w:type="dxa"/>
              <w:left w:w="140" w:type="dxa"/>
              <w:bottom w:w="100" w:type="dxa"/>
              <w:right w:w="140" w:type="dxa"/>
            </w:tcMar>
          </w:tcPr>
          <w:p w14:paraId="165D6475" w14:textId="77777777" w:rsidR="009379DF" w:rsidRPr="000E0B84" w:rsidRDefault="00C342F2">
            <w:pPr>
              <w:rPr>
                <w:noProof/>
                <w:lang w:val="id-ID"/>
              </w:rPr>
            </w:pPr>
            <w:r w:rsidRPr="000E0B84">
              <w:rPr>
                <w:b/>
                <w:bCs/>
                <w:noProof/>
                <w:lang w:val="id-ID"/>
              </w:rPr>
              <w:t>Diterapkan</w:t>
            </w:r>
          </w:p>
        </w:tc>
      </w:tr>
      <w:tr w:rsidR="009379DF" w:rsidRPr="000E0B84" w14:paraId="6782BDAF"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17A61E3" w14:textId="77777777" w:rsidR="009379DF" w:rsidRPr="000E0B84" w:rsidRDefault="00C342F2">
            <w:pPr>
              <w:rPr>
                <w:noProof/>
                <w:lang w:val="id-ID"/>
              </w:rPr>
            </w:pPr>
            <w:r w:rsidRPr="000E0B84">
              <w:rPr>
                <w:noProof/>
                <w:lang w:val="id-ID"/>
              </w:rPr>
              <w:t>Praktik aksesibilitas</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F09FD73" w14:textId="77777777" w:rsidR="009379DF" w:rsidRPr="000E0B84" w:rsidRDefault="00C342F2">
            <w:pPr>
              <w:rPr>
                <w:noProof/>
                <w:lang w:val="id-ID"/>
              </w:rPr>
            </w:pPr>
            <w:r w:rsidRPr="000E0B84">
              <w:rPr>
                <w:noProof/>
                <w:lang w:val="id-ID"/>
              </w:rPr>
              <w:t>79%</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5D4CD48B" w14:textId="77777777" w:rsidR="009379DF" w:rsidRPr="000E0B84" w:rsidRDefault="00C342F2">
            <w:pPr>
              <w:rPr>
                <w:noProof/>
                <w:lang w:val="id-ID"/>
              </w:rPr>
            </w:pPr>
            <w:r w:rsidRPr="000E0B84">
              <w:rPr>
                <w:noProof/>
                <w:lang w:val="id-ID"/>
              </w:rPr>
              <w:t>14%</w:t>
            </w:r>
          </w:p>
        </w:tc>
      </w:tr>
      <w:tr w:rsidR="009379DF" w:rsidRPr="000E0B84" w14:paraId="6B5E1D69"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DB3DB5C" w14:textId="77777777" w:rsidR="009379DF" w:rsidRPr="000E0B84" w:rsidRDefault="00C342F2">
            <w:pPr>
              <w:rPr>
                <w:noProof/>
                <w:lang w:val="id-ID"/>
              </w:rPr>
            </w:pPr>
            <w:r w:rsidRPr="000E0B84">
              <w:rPr>
                <w:noProof/>
                <w:lang w:val="id-ID"/>
              </w:rPr>
              <w:t>Strategi advokasi</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7F32AC5" w14:textId="77777777" w:rsidR="009379DF" w:rsidRPr="000E0B84" w:rsidRDefault="00C342F2">
            <w:pPr>
              <w:rPr>
                <w:noProof/>
                <w:lang w:val="id-ID"/>
              </w:rPr>
            </w:pPr>
            <w:r w:rsidRPr="000E0B84">
              <w:rPr>
                <w:noProof/>
                <w:lang w:val="id-ID"/>
              </w:rPr>
              <w:t>78%</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66BC92F1" w14:textId="77777777" w:rsidR="009379DF" w:rsidRPr="000E0B84" w:rsidRDefault="00C342F2">
            <w:pPr>
              <w:rPr>
                <w:noProof/>
                <w:lang w:val="id-ID"/>
              </w:rPr>
            </w:pPr>
            <w:r w:rsidRPr="000E0B84">
              <w:rPr>
                <w:noProof/>
                <w:lang w:val="id-ID"/>
              </w:rPr>
              <w:t>20%</w:t>
            </w:r>
          </w:p>
        </w:tc>
      </w:tr>
      <w:tr w:rsidR="009379DF" w:rsidRPr="000E0B84" w14:paraId="081D5159"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49B3AA3" w14:textId="77777777" w:rsidR="009379DF" w:rsidRPr="000E0B84" w:rsidRDefault="00C342F2">
            <w:pPr>
              <w:rPr>
                <w:noProof/>
                <w:lang w:val="id-ID"/>
              </w:rPr>
            </w:pPr>
            <w:r w:rsidRPr="000E0B84">
              <w:rPr>
                <w:noProof/>
                <w:lang w:val="id-ID"/>
              </w:rPr>
              <w:t>Perubahan kebijakan dan hukum</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22252B80" w14:textId="77777777" w:rsidR="009379DF" w:rsidRPr="000E0B84" w:rsidRDefault="00C342F2">
            <w:pPr>
              <w:rPr>
                <w:noProof/>
                <w:lang w:val="id-ID"/>
              </w:rPr>
            </w:pPr>
            <w:r w:rsidRPr="000E0B84">
              <w:rPr>
                <w:noProof/>
                <w:lang w:val="id-ID"/>
              </w:rPr>
              <w:t>60%</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07028E64" w14:textId="77777777" w:rsidR="009379DF" w:rsidRPr="000E0B84" w:rsidRDefault="00C342F2">
            <w:pPr>
              <w:rPr>
                <w:noProof/>
                <w:lang w:val="id-ID"/>
              </w:rPr>
            </w:pPr>
            <w:r w:rsidRPr="000E0B84">
              <w:rPr>
                <w:noProof/>
                <w:lang w:val="id-ID"/>
              </w:rPr>
              <w:t>15%</w:t>
            </w:r>
          </w:p>
        </w:tc>
      </w:tr>
      <w:tr w:rsidR="009379DF" w:rsidRPr="000E0B84" w14:paraId="74D1BCB3"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67C66D97" w14:textId="77777777" w:rsidR="009379DF" w:rsidRPr="000E0B84" w:rsidRDefault="00C342F2">
            <w:pPr>
              <w:rPr>
                <w:noProof/>
                <w:lang w:val="id-ID"/>
              </w:rPr>
            </w:pPr>
            <w:r w:rsidRPr="000E0B84">
              <w:rPr>
                <w:noProof/>
                <w:lang w:val="id-ID"/>
              </w:rPr>
              <w:t>Komunikasi</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426724C7" w14:textId="77777777" w:rsidR="009379DF" w:rsidRPr="000E0B84" w:rsidRDefault="00C342F2">
            <w:pPr>
              <w:rPr>
                <w:noProof/>
                <w:lang w:val="id-ID"/>
              </w:rPr>
            </w:pPr>
            <w:r w:rsidRPr="000E0B84">
              <w:rPr>
                <w:noProof/>
                <w:lang w:val="id-ID"/>
              </w:rPr>
              <w:t>47%</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09FAC7DA" w14:textId="77777777" w:rsidR="009379DF" w:rsidRPr="000E0B84" w:rsidRDefault="00C342F2">
            <w:pPr>
              <w:rPr>
                <w:noProof/>
                <w:lang w:val="id-ID"/>
              </w:rPr>
            </w:pPr>
            <w:r w:rsidRPr="000E0B84">
              <w:rPr>
                <w:noProof/>
                <w:lang w:val="id-ID"/>
              </w:rPr>
              <w:t>4%</w:t>
            </w:r>
          </w:p>
        </w:tc>
      </w:tr>
      <w:tr w:rsidR="009379DF" w:rsidRPr="000E0B84" w14:paraId="19D9B7D9"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2D411C4F" w14:textId="77777777" w:rsidR="009379DF" w:rsidRPr="000E0B84" w:rsidRDefault="00C342F2">
            <w:pPr>
              <w:rPr>
                <w:noProof/>
                <w:lang w:val="id-ID"/>
              </w:rPr>
            </w:pPr>
            <w:r w:rsidRPr="000E0B84">
              <w:rPr>
                <w:noProof/>
                <w:lang w:val="id-ID"/>
              </w:rPr>
              <w:t>Pengorganisasian komunitas</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35E7D126" w14:textId="77777777" w:rsidR="009379DF" w:rsidRPr="000E0B84" w:rsidRDefault="00C342F2">
            <w:pPr>
              <w:rPr>
                <w:noProof/>
                <w:lang w:val="id-ID"/>
              </w:rPr>
            </w:pPr>
            <w:r w:rsidRPr="000E0B84">
              <w:rPr>
                <w:noProof/>
                <w:lang w:val="id-ID"/>
              </w:rPr>
              <w:t>50%</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94F7F77" w14:textId="77777777" w:rsidR="009379DF" w:rsidRPr="000E0B84" w:rsidRDefault="00C342F2">
            <w:pPr>
              <w:rPr>
                <w:noProof/>
                <w:lang w:val="id-ID"/>
              </w:rPr>
            </w:pPr>
            <w:r w:rsidRPr="000E0B84">
              <w:rPr>
                <w:noProof/>
                <w:lang w:val="id-ID"/>
              </w:rPr>
              <w:t>8%</w:t>
            </w:r>
          </w:p>
        </w:tc>
      </w:tr>
      <w:tr w:rsidR="009379DF" w:rsidRPr="000E0B84" w14:paraId="4A079A3F"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506EBB79" w14:textId="77777777" w:rsidR="009379DF" w:rsidRPr="000E0B84" w:rsidRDefault="00C342F2">
            <w:pPr>
              <w:rPr>
                <w:noProof/>
                <w:lang w:val="id-ID"/>
              </w:rPr>
            </w:pPr>
            <w:r w:rsidRPr="000E0B84">
              <w:rPr>
                <w:noProof/>
                <w:lang w:val="id-ID"/>
              </w:rPr>
              <w:lastRenderedPageBreak/>
              <w:t>Manajemen organisasi</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431B0146" w14:textId="77777777" w:rsidR="009379DF" w:rsidRPr="000E0B84" w:rsidRDefault="00C342F2">
            <w:pPr>
              <w:rPr>
                <w:noProof/>
                <w:lang w:val="id-ID"/>
              </w:rPr>
            </w:pPr>
            <w:r w:rsidRPr="000E0B84">
              <w:rPr>
                <w:noProof/>
                <w:lang w:val="id-ID"/>
              </w:rPr>
              <w:t>40%</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7E0CBEFB" w14:textId="77777777" w:rsidR="009379DF" w:rsidRPr="000E0B84" w:rsidRDefault="00C342F2">
            <w:pPr>
              <w:rPr>
                <w:noProof/>
                <w:lang w:val="id-ID"/>
              </w:rPr>
            </w:pPr>
            <w:r w:rsidRPr="000E0B84">
              <w:rPr>
                <w:noProof/>
                <w:lang w:val="id-ID"/>
              </w:rPr>
              <w:t>8%</w:t>
            </w:r>
          </w:p>
        </w:tc>
      </w:tr>
      <w:tr w:rsidR="009379DF" w:rsidRPr="000E0B84" w14:paraId="63D334B5"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20B52E7E" w14:textId="77777777" w:rsidR="009379DF" w:rsidRPr="000E0B84" w:rsidRDefault="00C342F2">
            <w:pPr>
              <w:rPr>
                <w:noProof/>
                <w:lang w:val="id-ID"/>
              </w:rPr>
            </w:pPr>
            <w:r w:rsidRPr="000E0B84">
              <w:rPr>
                <w:noProof/>
                <w:lang w:val="id-ID"/>
              </w:rPr>
              <w:t>Safeguarding</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61C555D0" w14:textId="77777777" w:rsidR="009379DF" w:rsidRPr="000E0B84" w:rsidRDefault="00C342F2">
            <w:pPr>
              <w:rPr>
                <w:noProof/>
                <w:lang w:val="id-ID"/>
              </w:rPr>
            </w:pPr>
            <w:r w:rsidRPr="000E0B84">
              <w:rPr>
                <w:noProof/>
                <w:lang w:val="id-ID"/>
              </w:rPr>
              <w:t>5%</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6A79F5AF" w14:textId="77777777" w:rsidR="009379DF" w:rsidRPr="000E0B84" w:rsidRDefault="00C342F2">
            <w:pPr>
              <w:rPr>
                <w:noProof/>
                <w:lang w:val="id-ID"/>
              </w:rPr>
            </w:pPr>
            <w:r w:rsidRPr="000E0B84">
              <w:rPr>
                <w:noProof/>
                <w:lang w:val="id-ID"/>
              </w:rPr>
              <w:t>12%</w:t>
            </w:r>
          </w:p>
        </w:tc>
      </w:tr>
    </w:tbl>
    <w:p w14:paraId="3899E071" w14:textId="77777777" w:rsidR="009379DF" w:rsidRPr="000E0B84" w:rsidRDefault="009379DF">
      <w:pPr>
        <w:spacing w:after="200"/>
        <w:rPr>
          <w:noProof/>
          <w:lang w:val="id-ID"/>
        </w:rPr>
      </w:pPr>
    </w:p>
    <w:p w14:paraId="02441CFB" w14:textId="77777777" w:rsidR="009379DF" w:rsidRPr="000E0B84" w:rsidRDefault="00C342F2">
      <w:pPr>
        <w:spacing w:after="120"/>
        <w:rPr>
          <w:noProof/>
          <w:lang w:val="id-ID"/>
        </w:rPr>
      </w:pPr>
      <w:r w:rsidRPr="000E0B84">
        <w:rPr>
          <w:noProof/>
          <w:lang w:val="id-ID"/>
        </w:rPr>
        <w:t>Safeguarding adalah pengecualian. Lebih banyak OPD yang membangun kapasitas safeguarding secara internal (12%) daripada yang membagikannya ke luar (5%). Pola yang terbalik ini layak untuk dieksplorasi bersama para mitra.</w:t>
      </w:r>
    </w:p>
    <w:p w14:paraId="0A187911" w14:textId="77777777" w:rsidR="009379DF" w:rsidRPr="000E0B84" w:rsidRDefault="00C342F2">
      <w:pPr>
        <w:pStyle w:val="Heading2"/>
        <w:rPr>
          <w:noProof/>
          <w:lang w:val="id-ID"/>
        </w:rPr>
      </w:pPr>
      <w:r w:rsidRPr="000E0B84">
        <w:rPr>
          <w:noProof/>
          <w:lang w:val="id-ID"/>
        </w:rPr>
        <w:t>5. Tanggap Krisis Menggunakan Perangkat yang Sama dengan Pekerjaan Sehari-hari</w:t>
      </w:r>
    </w:p>
    <w:p w14:paraId="67E93746" w14:textId="77777777" w:rsidR="009379DF" w:rsidRPr="000E0B84" w:rsidRDefault="00C342F2">
      <w:pPr>
        <w:spacing w:after="120"/>
        <w:rPr>
          <w:noProof/>
          <w:lang w:val="id-ID"/>
        </w:rPr>
      </w:pPr>
      <w:r w:rsidRPr="000E0B84">
        <w:rPr>
          <w:noProof/>
          <w:lang w:val="id-ID"/>
        </w:rPr>
        <w:t>Tiga puluh sembilan persen responden menggambarkan bekerja dalam konteks krisis atau kemanusiaan. Dari responden tersebut, hampir setengahnya mencatat bermitra dengan organisasi iklim, menjadikan keadilan iklim sebagai bidang terkuat dalam kolaborasi terkait krisis.</w:t>
      </w:r>
    </w:p>
    <w:p w14:paraId="78FA6ECE" w14:textId="77777777" w:rsidR="009379DF" w:rsidRPr="000E0B84" w:rsidRDefault="00C342F2">
      <w:pPr>
        <w:spacing w:after="120"/>
        <w:rPr>
          <w:noProof/>
          <w:lang w:val="id-ID"/>
        </w:rPr>
      </w:pPr>
      <w:r w:rsidRPr="000E0B84">
        <w:rPr>
          <w:noProof/>
          <w:lang w:val="id-ID"/>
        </w:rPr>
        <w:t>Secara keseluruhan, pola kolaborasi dan pembelajaran sangat mirip dengan OPD lainnya. Hal ini menunjukkan bahwa OPD tidak memiliki mode krisis yang berbeda; mereka merespons dengan menggunakan perangkat yang sama dengan yang mereka gunakan untuk semua pekerjaan mereka: advokasi bersama, pembangunan kapasitas, dan pembelajaran sesama.</w:t>
      </w:r>
    </w:p>
    <w:p w14:paraId="3A79C574" w14:textId="77777777" w:rsidR="009379DF" w:rsidRPr="000E0B84" w:rsidRDefault="00C342F2">
      <w:pPr>
        <w:pStyle w:val="Heading2"/>
        <w:rPr>
          <w:noProof/>
          <w:lang w:val="id-ID"/>
        </w:rPr>
      </w:pPr>
      <w:r w:rsidRPr="000E0B84">
        <w:rPr>
          <w:noProof/>
          <w:lang w:val="id-ID"/>
        </w:rPr>
        <w:t>6. OPD Melindungi Capaian Kebijakan, Bukan Hanya Memenangkannya</w:t>
      </w:r>
    </w:p>
    <w:p w14:paraId="6C98CD47" w14:textId="77777777" w:rsidR="009379DF" w:rsidRPr="000E0B84" w:rsidRDefault="00C342F2">
      <w:pPr>
        <w:spacing w:after="120"/>
        <w:rPr>
          <w:noProof/>
          <w:lang w:val="id-ID"/>
        </w:rPr>
      </w:pPr>
      <w:r w:rsidRPr="000E0B84">
        <w:rPr>
          <w:noProof/>
          <w:lang w:val="id-ID"/>
        </w:rPr>
        <w:t>OPD terlibat di sepanjang siklus kebijakan. Sembilan puluh dua persen mendorong perubahan kebijakan baru, sementara 85% memantau apakah kebijakan yang sudah ada sedang diimplementasikan. Yang paling umum adalah advokasi bersama (82%) dan bekerja langsung dengan kementerian pemerintah atau parlemen (42%).</w:t>
      </w:r>
    </w:p>
    <w:p w14:paraId="3D080A57" w14:textId="77777777" w:rsidR="009379DF" w:rsidRPr="000E0B84" w:rsidRDefault="00C342F2">
      <w:pPr>
        <w:spacing w:after="120"/>
        <w:rPr>
          <w:noProof/>
          <w:lang w:val="id-ID"/>
        </w:rPr>
      </w:pPr>
      <w:r w:rsidRPr="000E0B84">
        <w:rPr>
          <w:noProof/>
          <w:lang w:val="id-ID"/>
        </w:rPr>
        <w:t>Konteks pekerjaan ini menjadi semakin sulit. Responden OPD menggambarkan ekosistem pendanaan yang menyempit dan lanskap hukum yang berubah, yang memerlukan perencanaan yang lebih disengaja.</w:t>
      </w:r>
    </w:p>
    <w:p w14:paraId="78817482" w14:textId="77777777" w:rsidR="009379DF" w:rsidRPr="000E0B84" w:rsidRDefault="00C342F2">
      <w:pPr>
        <w:spacing w:before="120" w:after="200"/>
        <w:ind w:left="720" w:right="720"/>
        <w:rPr>
          <w:noProof/>
          <w:lang w:val="id-ID"/>
        </w:rPr>
      </w:pPr>
      <w:r w:rsidRPr="000E0B84">
        <w:rPr>
          <w:i/>
          <w:iCs/>
          <w:noProof/>
          <w:lang w:val="id-ID"/>
        </w:rPr>
        <w:t>“Seiring kami bertumbuh dan beroperasi dalam ekosistem pendanaan yang menyempit, kami harus membuat keputusan yang disengaja dan bijaksana tentang praktik mana yang dapat kami implementasikan dan/atau pertahankan sepenuhnya — ingin menghormati baik anggaran maupun komunitas yang kami layani . . . [hal ini] berarti kadang-kadang kami harus jeda dan secara hati-hati mengevaluasi implikasi potensial dari menerapkan cara-cara baru dalam bekerja.”</w:t>
      </w:r>
    </w:p>
    <w:p w14:paraId="195F9551" w14:textId="77777777" w:rsidR="009379DF" w:rsidRPr="000E0B84" w:rsidRDefault="00C342F2">
      <w:pPr>
        <w:spacing w:after="120"/>
        <w:rPr>
          <w:noProof/>
          <w:lang w:val="id-ID"/>
        </w:rPr>
      </w:pPr>
      <w:r w:rsidRPr="000E0B84">
        <w:rPr>
          <w:noProof/>
          <w:lang w:val="id-ID"/>
        </w:rPr>
        <w:t>OPD yang baru muncul hampir sama aktifnya dengan yang sudah mapan: 80% melakukan advokasi bersama, dibandingkan dengan 82% secara keseluruhan.</w:t>
      </w:r>
    </w:p>
    <w:p w14:paraId="02F00219" w14:textId="77777777" w:rsidR="009379DF" w:rsidRPr="000E0B84" w:rsidRDefault="00C342F2">
      <w:pPr>
        <w:pStyle w:val="Heading2"/>
        <w:rPr>
          <w:noProof/>
          <w:lang w:val="id-ID"/>
        </w:rPr>
      </w:pPr>
      <w:r w:rsidRPr="000E0B84">
        <w:rPr>
          <w:noProof/>
          <w:lang w:val="id-ID"/>
        </w:rPr>
        <w:t>7. Gerakan Sedang Membangun Kekuatan Kolektif</w:t>
      </w:r>
    </w:p>
    <w:p w14:paraId="4C8D1900" w14:textId="77777777" w:rsidR="009379DF" w:rsidRPr="000E0B84" w:rsidRDefault="00C342F2">
      <w:pPr>
        <w:spacing w:after="120"/>
        <w:rPr>
          <w:noProof/>
          <w:lang w:val="id-ID"/>
        </w:rPr>
      </w:pPr>
      <w:r w:rsidRPr="000E0B84">
        <w:rPr>
          <w:noProof/>
          <w:lang w:val="id-ID"/>
        </w:rPr>
        <w:t xml:space="preserve">Hampir semua OPD (97%) menunjukkan tanda-tanda membangun kekuatan kolektif, menggabungkan kemitraan yang luas dengan dukungan saling sesama, pengorganisasian </w:t>
      </w:r>
      <w:r w:rsidRPr="000E0B84">
        <w:rPr>
          <w:noProof/>
          <w:lang w:val="id-ID"/>
        </w:rPr>
        <w:lastRenderedPageBreak/>
        <w:t>komunitas, atau perencanaan bersama. Legitimasi gerakan juga kuat: 92% menunjukkan pengakuan kelembagaan melalui keterlibatan dengan pemerintah atau visibilitas publik.</w:t>
      </w:r>
    </w:p>
    <w:p w14:paraId="5C04FD60" w14:textId="77777777" w:rsidR="009379DF" w:rsidRPr="000E0B84" w:rsidRDefault="00C342F2">
      <w:pPr>
        <w:spacing w:after="120"/>
        <w:rPr>
          <w:noProof/>
          <w:lang w:val="id-ID"/>
        </w:rPr>
      </w:pPr>
      <w:r w:rsidRPr="000E0B84">
        <w:rPr>
          <w:noProof/>
          <w:lang w:val="id-ID"/>
        </w:rPr>
        <w:t>Yang penting, penguatan gerakan melampaui kemenangan advokasi. Sepertiga OPD terlibat dalam dukungan sesama atau kepedulian kolektif, dan lebih dari sepertiga menggambarkan pekerjaan mereka melalui lensa interseksional yang berhubungan dengan gerakan gender, iklim, hak masyarakat adat, atau LGBTQI+.</w:t>
      </w:r>
    </w:p>
    <w:p w14:paraId="46793DB1" w14:textId="77777777" w:rsidR="009379DF" w:rsidRPr="000E0B84" w:rsidRDefault="00C342F2">
      <w:pPr>
        <w:pStyle w:val="Heading1"/>
        <w:rPr>
          <w:noProof/>
          <w:lang w:val="id-ID"/>
        </w:rPr>
      </w:pPr>
      <w:r w:rsidRPr="000E0B84">
        <w:rPr>
          <w:noProof/>
          <w:lang w:val="id-ID"/>
        </w:rPr>
        <w:t>Apa yang OPD Sampaikan kepada DRF</w:t>
      </w:r>
    </w:p>
    <w:p w14:paraId="344085C5" w14:textId="77777777" w:rsidR="009379DF" w:rsidRPr="000E0B84" w:rsidRDefault="00C342F2">
      <w:pPr>
        <w:spacing w:after="120"/>
        <w:rPr>
          <w:noProof/>
          <w:lang w:val="id-ID"/>
        </w:rPr>
      </w:pPr>
      <w:r w:rsidRPr="000E0B84">
        <w:rPr>
          <w:noProof/>
          <w:lang w:val="id-ID"/>
        </w:rPr>
        <w:t>Hampir semua responden OPD (93%) mengatakan kemitraan DRF membantu mereka melampaui dukungan dana. Selain itu, hal-hal yang paling dihargai OPD dari DRF adalah:</w:t>
      </w:r>
    </w:p>
    <w:p w14:paraId="2A58A192" w14:textId="77777777" w:rsidR="009379DF" w:rsidRPr="000E0B84" w:rsidRDefault="00C342F2">
      <w:pPr>
        <w:pStyle w:val="ListParagraph"/>
        <w:numPr>
          <w:ilvl w:val="0"/>
          <w:numId w:val="2"/>
        </w:numPr>
        <w:spacing w:after="80"/>
        <w:rPr>
          <w:noProof/>
          <w:lang w:val="id-ID"/>
        </w:rPr>
      </w:pPr>
      <w:r w:rsidRPr="000E0B84">
        <w:rPr>
          <w:noProof/>
          <w:lang w:val="id-ID"/>
        </w:rPr>
        <w:t>Dana yang DRF berikan</w:t>
      </w:r>
    </w:p>
    <w:p w14:paraId="253B3110" w14:textId="77777777" w:rsidR="009379DF" w:rsidRPr="000E0B84" w:rsidRDefault="00C342F2">
      <w:pPr>
        <w:pStyle w:val="ListParagraph"/>
        <w:numPr>
          <w:ilvl w:val="0"/>
          <w:numId w:val="2"/>
        </w:numPr>
        <w:spacing w:after="80"/>
        <w:rPr>
          <w:noProof/>
          <w:lang w:val="id-ID"/>
        </w:rPr>
      </w:pPr>
      <w:r w:rsidRPr="000E0B84">
        <w:rPr>
          <w:noProof/>
          <w:lang w:val="id-ID"/>
        </w:rPr>
        <w:t>Hubungan dengan DRF</w:t>
      </w:r>
    </w:p>
    <w:p w14:paraId="6AD5F02D" w14:textId="77777777" w:rsidR="009379DF" w:rsidRPr="000E0B84" w:rsidRDefault="00C342F2">
      <w:pPr>
        <w:pStyle w:val="ListParagraph"/>
        <w:numPr>
          <w:ilvl w:val="0"/>
          <w:numId w:val="2"/>
        </w:numPr>
        <w:spacing w:after="80"/>
        <w:rPr>
          <w:noProof/>
          <w:lang w:val="id-ID"/>
        </w:rPr>
      </w:pPr>
      <w:r w:rsidRPr="000E0B84">
        <w:rPr>
          <w:noProof/>
          <w:lang w:val="id-ID"/>
        </w:rPr>
        <w:t>Bantuan untuk memperkuat organisasi mereka</w:t>
      </w:r>
    </w:p>
    <w:p w14:paraId="2C6BE57C" w14:textId="77777777" w:rsidR="009379DF" w:rsidRPr="000E0B84" w:rsidRDefault="00C342F2">
      <w:pPr>
        <w:pStyle w:val="ListParagraph"/>
        <w:numPr>
          <w:ilvl w:val="0"/>
          <w:numId w:val="2"/>
        </w:numPr>
        <w:spacing w:after="80"/>
        <w:rPr>
          <w:noProof/>
          <w:lang w:val="id-ID"/>
        </w:rPr>
      </w:pPr>
      <w:r w:rsidRPr="000E0B84">
        <w:rPr>
          <w:noProof/>
          <w:lang w:val="id-ID"/>
        </w:rPr>
        <w:t>Bantuan teknis</w:t>
      </w:r>
    </w:p>
    <w:p w14:paraId="424F988B" w14:textId="77777777" w:rsidR="009379DF" w:rsidRPr="000E0B84" w:rsidRDefault="00C342F2">
      <w:pPr>
        <w:pStyle w:val="ListParagraph"/>
        <w:numPr>
          <w:ilvl w:val="0"/>
          <w:numId w:val="2"/>
        </w:numPr>
        <w:spacing w:after="80"/>
        <w:rPr>
          <w:noProof/>
          <w:lang w:val="id-ID"/>
        </w:rPr>
      </w:pPr>
      <w:r w:rsidRPr="000E0B84">
        <w:rPr>
          <w:noProof/>
          <w:lang w:val="id-ID"/>
        </w:rPr>
        <w:t>Peluang untuk belajar bersama yang lain</w:t>
      </w:r>
    </w:p>
    <w:p w14:paraId="029BE5D1" w14:textId="77777777" w:rsidR="009379DF" w:rsidRPr="000E0B84" w:rsidRDefault="00C342F2">
      <w:pPr>
        <w:spacing w:after="120"/>
        <w:rPr>
          <w:noProof/>
          <w:lang w:val="id-ID"/>
        </w:rPr>
      </w:pPr>
      <w:r w:rsidRPr="000E0B84">
        <w:rPr>
          <w:noProof/>
          <w:lang w:val="id-ID"/>
        </w:rPr>
        <w:t>Ketika ditanya bagaimana DRF dapat lebih baik dalam mendukung gerakan, OPD mengatakan DRF dapat memberikan bantuan lebih dengan:</w:t>
      </w:r>
    </w:p>
    <w:p w14:paraId="31CC23D2" w14:textId="77777777" w:rsidR="009379DF" w:rsidRPr="000E0B84" w:rsidRDefault="00C342F2">
      <w:pPr>
        <w:pStyle w:val="ListParagraph"/>
        <w:numPr>
          <w:ilvl w:val="0"/>
          <w:numId w:val="2"/>
        </w:numPr>
        <w:spacing w:after="80"/>
        <w:rPr>
          <w:noProof/>
          <w:lang w:val="id-ID"/>
        </w:rPr>
      </w:pPr>
      <w:r w:rsidRPr="000E0B84">
        <w:rPr>
          <w:noProof/>
          <w:lang w:val="id-ID"/>
        </w:rPr>
        <w:t>Memberikan lebih banyak dukungan teknis</w:t>
      </w:r>
    </w:p>
    <w:p w14:paraId="7F86FF29" w14:textId="77777777" w:rsidR="009379DF" w:rsidRPr="000E0B84" w:rsidRDefault="00C342F2">
      <w:pPr>
        <w:pStyle w:val="ListParagraph"/>
        <w:numPr>
          <w:ilvl w:val="0"/>
          <w:numId w:val="2"/>
        </w:numPr>
        <w:spacing w:after="80"/>
        <w:rPr>
          <w:noProof/>
          <w:lang w:val="id-ID"/>
        </w:rPr>
      </w:pPr>
      <w:r w:rsidRPr="000E0B84">
        <w:rPr>
          <w:noProof/>
          <w:lang w:val="id-ID"/>
        </w:rPr>
        <w:t>Memberikan hibah yang lebih lama atau jumlah yang lebih besar</w:t>
      </w:r>
    </w:p>
    <w:p w14:paraId="78F7D0DC" w14:textId="77777777" w:rsidR="009379DF" w:rsidRPr="000E0B84" w:rsidRDefault="00C342F2">
      <w:pPr>
        <w:pStyle w:val="ListParagraph"/>
        <w:numPr>
          <w:ilvl w:val="0"/>
          <w:numId w:val="2"/>
        </w:numPr>
        <w:spacing w:after="80"/>
        <w:rPr>
          <w:noProof/>
          <w:lang w:val="id-ID"/>
        </w:rPr>
      </w:pPr>
      <w:r w:rsidRPr="000E0B84">
        <w:rPr>
          <w:noProof/>
          <w:lang w:val="id-ID"/>
        </w:rPr>
        <w:t>Menciptakan lebih banyak peluang untuk saling belajar</w:t>
      </w:r>
    </w:p>
    <w:p w14:paraId="5614899F" w14:textId="77777777" w:rsidR="009379DF" w:rsidRPr="000E0B84" w:rsidRDefault="00C342F2">
      <w:pPr>
        <w:spacing w:after="120"/>
        <w:rPr>
          <w:noProof/>
          <w:lang w:val="id-ID"/>
        </w:rPr>
      </w:pPr>
      <w:r w:rsidRPr="000E0B84">
        <w:rPr>
          <w:noProof/>
          <w:lang w:val="id-ID"/>
        </w:rPr>
        <w:t>OPD juga memberikan saran untuk membuat pekerjaan DRF lebih akses. Saran yang paling umum adalah:</w:t>
      </w:r>
    </w:p>
    <w:p w14:paraId="6CF082C8" w14:textId="77777777" w:rsidR="009379DF" w:rsidRPr="000E0B84" w:rsidRDefault="00C342F2">
      <w:pPr>
        <w:pStyle w:val="ListParagraph"/>
        <w:numPr>
          <w:ilvl w:val="0"/>
          <w:numId w:val="2"/>
        </w:numPr>
        <w:spacing w:after="80"/>
        <w:rPr>
          <w:noProof/>
          <w:lang w:val="id-ID"/>
        </w:rPr>
      </w:pPr>
      <w:r w:rsidRPr="000E0B84">
        <w:rPr>
          <w:noProof/>
          <w:lang w:val="id-ID"/>
        </w:rPr>
        <w:t>Lebih banyak bahasa isyarat dan teks gambar (captioning)</w:t>
      </w:r>
    </w:p>
    <w:p w14:paraId="61D633AE" w14:textId="77777777" w:rsidR="009379DF" w:rsidRPr="000E0B84" w:rsidRDefault="00C342F2">
      <w:pPr>
        <w:pStyle w:val="ListParagraph"/>
        <w:numPr>
          <w:ilvl w:val="0"/>
          <w:numId w:val="2"/>
        </w:numPr>
        <w:spacing w:after="80"/>
        <w:rPr>
          <w:noProof/>
          <w:lang w:val="id-ID"/>
        </w:rPr>
      </w:pPr>
      <w:r w:rsidRPr="000E0B84">
        <w:rPr>
          <w:noProof/>
          <w:lang w:val="id-ID"/>
        </w:rPr>
        <w:t>Menerjemahkan materi ke dalam bahasa lokal</w:t>
      </w:r>
    </w:p>
    <w:p w14:paraId="7189922B" w14:textId="77777777" w:rsidR="009379DF" w:rsidRPr="000E0B84" w:rsidRDefault="00C342F2">
      <w:pPr>
        <w:pStyle w:val="ListParagraph"/>
        <w:numPr>
          <w:ilvl w:val="0"/>
          <w:numId w:val="2"/>
        </w:numPr>
        <w:spacing w:after="80"/>
        <w:rPr>
          <w:noProof/>
          <w:lang w:val="id-ID"/>
        </w:rPr>
      </w:pPr>
      <w:r w:rsidRPr="000E0B84">
        <w:rPr>
          <w:noProof/>
          <w:lang w:val="id-ID"/>
        </w:rPr>
        <w:t>Membuat situs web dan perangkat digital lebih mudah digunakan</w:t>
      </w:r>
    </w:p>
    <w:p w14:paraId="45B97468" w14:textId="77777777" w:rsidR="009379DF" w:rsidRPr="000E0B84" w:rsidRDefault="00C342F2">
      <w:pPr>
        <w:pStyle w:val="ListParagraph"/>
        <w:numPr>
          <w:ilvl w:val="0"/>
          <w:numId w:val="2"/>
        </w:numPr>
        <w:spacing w:after="80"/>
        <w:rPr>
          <w:noProof/>
          <w:lang w:val="id-ID"/>
        </w:rPr>
      </w:pPr>
      <w:r w:rsidRPr="000E0B84">
        <w:rPr>
          <w:noProof/>
          <w:lang w:val="id-ID"/>
        </w:rPr>
        <w:t>Dukungan yang lebih baik untuk pembaca layar dan braille</w:t>
      </w:r>
    </w:p>
    <w:p w14:paraId="76B38C20" w14:textId="77777777" w:rsidR="009379DF" w:rsidRPr="000E0B84" w:rsidRDefault="00C342F2">
      <w:pPr>
        <w:pStyle w:val="ListParagraph"/>
        <w:numPr>
          <w:ilvl w:val="0"/>
          <w:numId w:val="2"/>
        </w:numPr>
        <w:spacing w:after="80"/>
        <w:rPr>
          <w:noProof/>
          <w:lang w:val="id-ID"/>
        </w:rPr>
      </w:pPr>
      <w:r w:rsidRPr="000E0B84">
        <w:rPr>
          <w:noProof/>
          <w:lang w:val="id-ID"/>
        </w:rPr>
        <w:t>Lebih banyak materi yang mudah dibaca</w:t>
      </w:r>
    </w:p>
    <w:p w14:paraId="6113995D" w14:textId="77777777" w:rsidR="009379DF" w:rsidRPr="000E0B84" w:rsidRDefault="00C342F2">
      <w:pPr>
        <w:pStyle w:val="Heading1"/>
        <w:rPr>
          <w:noProof/>
          <w:lang w:val="id-ID"/>
        </w:rPr>
      </w:pPr>
      <w:r w:rsidRPr="000E0B84">
        <w:rPr>
          <w:noProof/>
          <w:lang w:val="id-ID"/>
        </w:rPr>
        <w:t>Apa yang Akan DRF Pertimbangkan Berdasarkan Masukan OPD</w:t>
      </w:r>
    </w:p>
    <w:p w14:paraId="47EF7AA6" w14:textId="77777777" w:rsidR="009379DF" w:rsidRPr="000E0B84" w:rsidRDefault="00C342F2">
      <w:pPr>
        <w:spacing w:after="120"/>
        <w:rPr>
          <w:noProof/>
          <w:lang w:val="id-ID"/>
        </w:rPr>
      </w:pPr>
      <w:r w:rsidRPr="000E0B84">
        <w:rPr>
          <w:noProof/>
          <w:lang w:val="id-ID"/>
        </w:rPr>
        <w:t>DRF akan menggunakan data ini untuk mempertimbangkan rekomendasi berikut:</w:t>
      </w:r>
    </w:p>
    <w:p w14:paraId="4941016E" w14:textId="77777777" w:rsidR="009379DF" w:rsidRPr="000E0B84" w:rsidRDefault="00C342F2">
      <w:pPr>
        <w:pStyle w:val="ListParagraph"/>
        <w:numPr>
          <w:ilvl w:val="0"/>
          <w:numId w:val="2"/>
        </w:numPr>
        <w:spacing w:after="80"/>
        <w:rPr>
          <w:noProof/>
          <w:lang w:val="id-ID"/>
        </w:rPr>
      </w:pPr>
      <w:r w:rsidRPr="000E0B84">
        <w:rPr>
          <w:noProof/>
          <w:lang w:val="id-ID"/>
        </w:rPr>
        <w:t>Berdialog dengan OPD mitra tentang mengapa lebih sulit untuk menggunakan pengetahuan dari yang lain dibandingkan dengan membagikannya. DRF ingin memahami apakah ini merupakan masalah dan apa yang mungkin dapat membantu.</w:t>
      </w:r>
    </w:p>
    <w:p w14:paraId="5DE0AB9B" w14:textId="77777777" w:rsidR="009379DF" w:rsidRPr="000E0B84" w:rsidRDefault="00C342F2">
      <w:pPr>
        <w:pStyle w:val="ListParagraph"/>
        <w:numPr>
          <w:ilvl w:val="0"/>
          <w:numId w:val="2"/>
        </w:numPr>
        <w:spacing w:after="80"/>
        <w:rPr>
          <w:noProof/>
          <w:lang w:val="id-ID"/>
        </w:rPr>
      </w:pPr>
      <w:r w:rsidRPr="000E0B84">
        <w:rPr>
          <w:noProof/>
          <w:lang w:val="id-ID"/>
        </w:rPr>
        <w:t>Terus berinvestasi pada OPD yang lebih baru.</w:t>
      </w:r>
    </w:p>
    <w:p w14:paraId="0F244090" w14:textId="77777777" w:rsidR="009379DF" w:rsidRPr="000E0B84" w:rsidRDefault="00C342F2">
      <w:pPr>
        <w:pStyle w:val="ListParagraph"/>
        <w:numPr>
          <w:ilvl w:val="0"/>
          <w:numId w:val="2"/>
        </w:numPr>
        <w:spacing w:after="80"/>
        <w:rPr>
          <w:noProof/>
          <w:lang w:val="id-ID"/>
        </w:rPr>
      </w:pPr>
      <w:r w:rsidRPr="000E0B84">
        <w:rPr>
          <w:noProof/>
          <w:lang w:val="id-ID"/>
        </w:rPr>
        <w:t>Mempertimbangkan untuk menambahkan pertanyaan pada survei berikutnya tentang safeguarding, hambatan untuk bekerja sama, dan demokrasi.</w:t>
      </w:r>
    </w:p>
    <w:p w14:paraId="7CCD9353" w14:textId="77777777" w:rsidR="009379DF" w:rsidRPr="000E0B84" w:rsidRDefault="00C342F2">
      <w:pPr>
        <w:pStyle w:val="ListParagraph"/>
        <w:numPr>
          <w:ilvl w:val="0"/>
          <w:numId w:val="2"/>
        </w:numPr>
        <w:spacing w:after="80"/>
        <w:rPr>
          <w:noProof/>
          <w:lang w:val="id-ID"/>
        </w:rPr>
      </w:pPr>
      <w:r w:rsidRPr="000E0B84">
        <w:rPr>
          <w:noProof/>
          <w:lang w:val="id-ID"/>
        </w:rPr>
        <w:t>Meninjau praktik aksesibilitas DFRF berdasarkan saran yang diberikan OPD.</w:t>
      </w:r>
    </w:p>
    <w:sectPr w:rsidR="009379DF" w:rsidRPr="000E0B8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E75"/>
    <w:multiLevelType w:val="hybridMultilevel"/>
    <w:tmpl w:val="F8C2CDC4"/>
    <w:lvl w:ilvl="0" w:tplc="79CE4800">
      <w:start w:val="1"/>
      <w:numFmt w:val="bullet"/>
      <w:lvlText w:val="•"/>
      <w:lvlJc w:val="left"/>
      <w:pPr>
        <w:ind w:left="720" w:hanging="360"/>
      </w:pPr>
    </w:lvl>
    <w:lvl w:ilvl="1" w:tplc="9942F04C">
      <w:numFmt w:val="decimal"/>
      <w:lvlText w:val=""/>
      <w:lvlJc w:val="left"/>
    </w:lvl>
    <w:lvl w:ilvl="2" w:tplc="5C2A53BA">
      <w:numFmt w:val="decimal"/>
      <w:lvlText w:val=""/>
      <w:lvlJc w:val="left"/>
    </w:lvl>
    <w:lvl w:ilvl="3" w:tplc="6706E2D4">
      <w:numFmt w:val="decimal"/>
      <w:lvlText w:val=""/>
      <w:lvlJc w:val="left"/>
    </w:lvl>
    <w:lvl w:ilvl="4" w:tplc="9FCCED66">
      <w:numFmt w:val="decimal"/>
      <w:lvlText w:val=""/>
      <w:lvlJc w:val="left"/>
    </w:lvl>
    <w:lvl w:ilvl="5" w:tplc="28DAA690">
      <w:numFmt w:val="decimal"/>
      <w:lvlText w:val=""/>
      <w:lvlJc w:val="left"/>
    </w:lvl>
    <w:lvl w:ilvl="6" w:tplc="87AC6F84">
      <w:numFmt w:val="decimal"/>
      <w:lvlText w:val=""/>
      <w:lvlJc w:val="left"/>
    </w:lvl>
    <w:lvl w:ilvl="7" w:tplc="7774265A">
      <w:numFmt w:val="decimal"/>
      <w:lvlText w:val=""/>
      <w:lvlJc w:val="left"/>
    </w:lvl>
    <w:lvl w:ilvl="8" w:tplc="9BBE40C0">
      <w:numFmt w:val="decimal"/>
      <w:lvlText w:val=""/>
      <w:lvlJc w:val="left"/>
    </w:lvl>
  </w:abstractNum>
  <w:abstractNum w:abstractNumId="1" w15:restartNumberingAfterBreak="0">
    <w:nsid w:val="51957CC9"/>
    <w:multiLevelType w:val="hybridMultilevel"/>
    <w:tmpl w:val="12161322"/>
    <w:lvl w:ilvl="0" w:tplc="7024A4FE">
      <w:start w:val="1"/>
      <w:numFmt w:val="bullet"/>
      <w:lvlText w:val="●"/>
      <w:lvlJc w:val="left"/>
      <w:pPr>
        <w:ind w:left="720" w:hanging="360"/>
      </w:pPr>
    </w:lvl>
    <w:lvl w:ilvl="1" w:tplc="50900D32">
      <w:start w:val="1"/>
      <w:numFmt w:val="bullet"/>
      <w:lvlText w:val="○"/>
      <w:lvlJc w:val="left"/>
      <w:pPr>
        <w:ind w:left="1440" w:hanging="360"/>
      </w:pPr>
    </w:lvl>
    <w:lvl w:ilvl="2" w:tplc="B914D8AA">
      <w:start w:val="1"/>
      <w:numFmt w:val="bullet"/>
      <w:lvlText w:val="■"/>
      <w:lvlJc w:val="left"/>
      <w:pPr>
        <w:ind w:left="2160" w:hanging="360"/>
      </w:pPr>
    </w:lvl>
    <w:lvl w:ilvl="3" w:tplc="83C487DC">
      <w:start w:val="1"/>
      <w:numFmt w:val="bullet"/>
      <w:lvlText w:val="●"/>
      <w:lvlJc w:val="left"/>
      <w:pPr>
        <w:ind w:left="2880" w:hanging="360"/>
      </w:pPr>
    </w:lvl>
    <w:lvl w:ilvl="4" w:tplc="77E06320">
      <w:start w:val="1"/>
      <w:numFmt w:val="bullet"/>
      <w:lvlText w:val="○"/>
      <w:lvlJc w:val="left"/>
      <w:pPr>
        <w:ind w:left="3600" w:hanging="360"/>
      </w:pPr>
    </w:lvl>
    <w:lvl w:ilvl="5" w:tplc="19D2DCBA">
      <w:start w:val="1"/>
      <w:numFmt w:val="bullet"/>
      <w:lvlText w:val="■"/>
      <w:lvlJc w:val="left"/>
      <w:pPr>
        <w:ind w:left="4320" w:hanging="360"/>
      </w:pPr>
    </w:lvl>
    <w:lvl w:ilvl="6" w:tplc="5630E394">
      <w:start w:val="1"/>
      <w:numFmt w:val="bullet"/>
      <w:lvlText w:val="●"/>
      <w:lvlJc w:val="left"/>
      <w:pPr>
        <w:ind w:left="5040" w:hanging="360"/>
      </w:pPr>
    </w:lvl>
    <w:lvl w:ilvl="7" w:tplc="4FD89C26">
      <w:start w:val="1"/>
      <w:numFmt w:val="bullet"/>
      <w:lvlText w:val="●"/>
      <w:lvlJc w:val="left"/>
      <w:pPr>
        <w:ind w:left="5760" w:hanging="360"/>
      </w:pPr>
    </w:lvl>
    <w:lvl w:ilvl="8" w:tplc="F45AE240">
      <w:start w:val="1"/>
      <w:numFmt w:val="bullet"/>
      <w:lvlText w:val="●"/>
      <w:lvlJc w:val="left"/>
      <w:pPr>
        <w:ind w:left="6480" w:hanging="360"/>
      </w:pPr>
    </w:lvl>
  </w:abstractNum>
  <w:num w:numId="1" w16cid:durableId="146410310">
    <w:abstractNumId w:val="1"/>
    <w:lvlOverride w:ilvl="0">
      <w:startOverride w:val="1"/>
    </w:lvlOverride>
  </w:num>
  <w:num w:numId="2" w16cid:durableId="1048875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9DF"/>
    <w:rsid w:val="000E0B84"/>
    <w:rsid w:val="001854F8"/>
    <w:rsid w:val="009379DF"/>
    <w:rsid w:val="00C3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6DF50"/>
  <w15:docId w15:val="{DF580992-4591-F340-859F-0DEBEA98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00000"/>
      <w:sz w:val="32"/>
      <w:szCs w:val="32"/>
    </w:rPr>
  </w:style>
  <w:style w:type="paragraph" w:styleId="Heading2">
    <w:name w:val="heading 2"/>
    <w:uiPriority w:val="9"/>
    <w:unhideWhenUsed/>
    <w:qFormat/>
    <w:pPr>
      <w:spacing w:before="280" w:after="140"/>
      <w:outlineLvl w:val="1"/>
    </w:pPr>
    <w:rPr>
      <w:b/>
      <w:bCs/>
      <w:color w:val="000000"/>
      <w:sz w:val="28"/>
      <w:szCs w:val="28"/>
    </w:rPr>
  </w:style>
  <w:style w:type="paragraph" w:styleId="Heading3">
    <w:name w:val="heading 3"/>
    <w:uiPriority w:val="9"/>
    <w:unhideWhenUsed/>
    <w:qFormat/>
    <w:pPr>
      <w:spacing w:before="200" w:after="10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D98ACDA2DAF429C556102D51BA9DD" ma:contentTypeVersion="13" ma:contentTypeDescription="Create a new document." ma:contentTypeScope="" ma:versionID="c89bfe110a6386b66336705bcfc0a8d2">
  <xsd:schema xmlns:xsd="http://www.w3.org/2001/XMLSchema" xmlns:xs="http://www.w3.org/2001/XMLSchema" xmlns:p="http://schemas.microsoft.com/office/2006/metadata/properties" xmlns:ns2="be240c68-9d92-48db-8a51-6c5264d9de25" xmlns:ns3="be39d354-04f7-4288-b933-2f279206bf9f" targetNamespace="http://schemas.microsoft.com/office/2006/metadata/properties" ma:root="true" ma:fieldsID="34a65402825c77d07210cb349c7a5b7d" ns2:_="" ns3:_="">
    <xsd:import namespace="be240c68-9d92-48db-8a51-6c5264d9de25"/>
    <xsd:import namespace="be39d354-04f7-4288-b933-2f279206bf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40c68-9d92-48db-8a51-6c5264d9d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8c4225-273c-4a16-8bf7-d672eda331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9d354-04f7-4288-b933-2f279206bf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2f4656-c541-49a3-a1ea-a64632cd1ccf}" ma:internalName="TaxCatchAll" ma:showField="CatchAllData" ma:web="be39d354-04f7-4288-b933-2f279206b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240c68-9d92-48db-8a51-6c5264d9de25">
      <Terms xmlns="http://schemas.microsoft.com/office/infopath/2007/PartnerControls"/>
    </lcf76f155ced4ddcb4097134ff3c332f>
    <TaxCatchAll xmlns="be39d354-04f7-4288-b933-2f279206bf9f" xsi:nil="true"/>
  </documentManagement>
</p:properties>
</file>

<file path=customXml/itemProps1.xml><?xml version="1.0" encoding="utf-8"?>
<ds:datastoreItem xmlns:ds="http://schemas.openxmlformats.org/officeDocument/2006/customXml" ds:itemID="{33A042C3-090E-4A75-8A3E-8E3BD63988D8}"/>
</file>

<file path=customXml/itemProps2.xml><?xml version="1.0" encoding="utf-8"?>
<ds:datastoreItem xmlns:ds="http://schemas.openxmlformats.org/officeDocument/2006/customXml" ds:itemID="{D0DA230F-3B98-482F-9211-E5C4A69CBB73}"/>
</file>

<file path=customXml/itemProps3.xml><?xml version="1.0" encoding="utf-8"?>
<ds:datastoreItem xmlns:ds="http://schemas.openxmlformats.org/officeDocument/2006/customXml" ds:itemID="{6D761009-15C3-475C-893A-0C71A4A66A88}"/>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8190</Characters>
  <Application>Microsoft Office Word</Application>
  <DocSecurity>0</DocSecurity>
  <Lines>163</Lines>
  <Paragraphs>92</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Umpan Balik Mitra AGS 2026</dc:title>
  <dc:creator>Disability Rights Fund</dc:creator>
  <cp:lastModifiedBy>Melanie Kawano-Chiu</cp:lastModifiedBy>
  <cp:revision>2</cp:revision>
  <dcterms:created xsi:type="dcterms:W3CDTF">2026-05-16T20:40:00Z</dcterms:created>
  <dcterms:modified xsi:type="dcterms:W3CDTF">2026-05-16T20:40:00Z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0x010100FD6D98ACDA2DAF429C556102D51BA9DD</vt:lpwstr>
  </property>
</Properties>
</file>