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F8DF" w14:textId="77777777" w:rsidR="00D44A43" w:rsidRPr="00BA08A6" w:rsidRDefault="00761904">
      <w:pPr>
        <w:spacing w:after="200"/>
        <w:rPr>
          <w:noProof/>
          <w:lang w:val="fr-FR"/>
        </w:rPr>
      </w:pPr>
      <w:r w:rsidRPr="00BA08A6">
        <w:rPr>
          <w:b/>
          <w:bCs/>
          <w:noProof/>
          <w:sz w:val="36"/>
          <w:szCs w:val="36"/>
          <w:lang w:val="fr-FR"/>
        </w:rPr>
        <w:t>Rapport de Feedback aux Partenaires</w:t>
      </w:r>
    </w:p>
    <w:p w14:paraId="560674AD" w14:textId="77777777" w:rsidR="00D44A43" w:rsidRPr="00BA08A6" w:rsidRDefault="00761904">
      <w:pPr>
        <w:spacing w:after="400"/>
        <w:rPr>
          <w:noProof/>
          <w:lang w:val="fr-FR"/>
        </w:rPr>
      </w:pPr>
      <w:r w:rsidRPr="00BA08A6">
        <w:rPr>
          <w:b/>
          <w:bCs/>
          <w:noProof/>
          <w:sz w:val="28"/>
          <w:szCs w:val="28"/>
          <w:lang w:val="fr-FR"/>
        </w:rPr>
        <w:t>Enquête Annuelle auprès des Bénéficiaires 2026</w:t>
      </w:r>
    </w:p>
    <w:p w14:paraId="50B6FFD1" w14:textId="77777777" w:rsidR="00D44A43" w:rsidRPr="00BA08A6" w:rsidRDefault="00761904">
      <w:pPr>
        <w:pStyle w:val="Heading1"/>
        <w:rPr>
          <w:noProof/>
          <w:lang w:val="fr-FR"/>
        </w:rPr>
      </w:pPr>
      <w:r w:rsidRPr="00BA08A6">
        <w:rPr>
          <w:noProof/>
          <w:lang w:val="fr-FR"/>
        </w:rPr>
        <w:t>Contenu du rapport</w:t>
      </w:r>
    </w:p>
    <w:p w14:paraId="1780CF24" w14:textId="77777777" w:rsidR="00D44A43" w:rsidRPr="00BA08A6" w:rsidRDefault="00761904">
      <w:pPr>
        <w:spacing w:after="120"/>
        <w:rPr>
          <w:noProof/>
          <w:lang w:val="fr-FR"/>
        </w:rPr>
      </w:pPr>
      <w:r w:rsidRPr="00BA08A6">
        <w:rPr>
          <w:noProof/>
          <w:lang w:val="fr-FR"/>
        </w:rPr>
        <w:t>Depuis 2019, le Disability Rights Fund (DRF) partage les résultats de son Enquête annuelle auprès des bénéficiaires (AGS) avec ses organisations partenaires de personnes handicapées (OPH). Ce rapport résume les résultats de l'AGS 2026, réalisée au début de 2026. Le rapport a été rédigé avec le soutien de l'IA (Claude, Anthropic) et tous les résultats ont été examinés et corrigés par la Directrice de l'Apprentissage et de l'Évaluation du DRF.</w:t>
      </w:r>
    </w:p>
    <w:p w14:paraId="4397663A" w14:textId="77777777" w:rsidR="00D44A43" w:rsidRPr="00BA08A6" w:rsidRDefault="00761904">
      <w:pPr>
        <w:spacing w:after="120"/>
        <w:rPr>
          <w:noProof/>
          <w:lang w:val="fr-FR"/>
        </w:rPr>
      </w:pPr>
      <w:r w:rsidRPr="00BA08A6">
        <w:rPr>
          <w:noProof/>
          <w:lang w:val="fr-FR"/>
        </w:rPr>
        <w:t>L'enquête 2026 est la première à appuyer le nouveau Movement Outcome Framework du DRF, qui met l'accent sur la collaboration, l'apprentissage partagé et le renforcement du mouvement. Cent quatre OPH ont répondu à l'enquête. Cela représente un taux de réponse de 86 %, le plus élevé depuis le lancement de l'enquête en 2011. Le DRF remercie tous les OPH partenaires qui y ont répondu. Vos contributions façonnent la manière dont le DRF soutient le mouvement des droits des personnes handicapées. Le rapport comple</w:t>
      </w:r>
      <w:r w:rsidRPr="00BA08A6">
        <w:rPr>
          <w:noProof/>
          <w:lang w:val="fr-FR"/>
        </w:rPr>
        <w:t>t des résultats est disponible sur demande.</w:t>
      </w:r>
    </w:p>
    <w:p w14:paraId="2239AA38" w14:textId="77777777" w:rsidR="00D44A43" w:rsidRPr="00BA08A6" w:rsidRDefault="00761904">
      <w:pPr>
        <w:pStyle w:val="Heading1"/>
        <w:rPr>
          <w:noProof/>
          <w:lang w:val="fr-FR"/>
        </w:rPr>
      </w:pPr>
      <w:r w:rsidRPr="00BA08A6">
        <w:rPr>
          <w:noProof/>
          <w:lang w:val="fr-FR"/>
        </w:rPr>
        <w:t>Sur quoi portait l'enquête</w:t>
      </w:r>
    </w:p>
    <w:p w14:paraId="1943F672" w14:textId="77777777" w:rsidR="00D44A43" w:rsidRPr="00BA08A6" w:rsidRDefault="00761904">
      <w:pPr>
        <w:spacing w:after="120"/>
        <w:rPr>
          <w:noProof/>
          <w:lang w:val="fr-FR"/>
        </w:rPr>
      </w:pPr>
      <w:r w:rsidRPr="00BA08A6">
        <w:rPr>
          <w:noProof/>
          <w:lang w:val="fr-FR"/>
        </w:rPr>
        <w:t>L'enquête 2026 comportait trois sections principales : la collaboration avec d'autres organisations, la contribution à l'apprentissage et son utilisation, et le partenariat avec le DRF. Ces sections ont alimenté trois indicateurs et quatre questions d'apprentissage du Movement Outcome Framework du DRF. Les trois indicateurs mesurent si les OPH collaborent avec d'autres organisations (Indicateur 1.1), partagent leurs apprentissages avec d'autres (Indicateur 2.1) et appliquent ce qu'elles apprennent (Indicate</w:t>
      </w:r>
      <w:r w:rsidRPr="00BA08A6">
        <w:rPr>
          <w:noProof/>
          <w:lang w:val="fr-FR"/>
        </w:rPr>
        <w:t>ur 2.2). Les quatre questions d'apprentissage explorent comment les OPH protègent les acquis politiques, renforcent leurs capacités en contexte de crise, consolident le pouvoir collectif, et comment la croissance individuelle des OPH contribue au mouvement plus large.</w:t>
      </w:r>
    </w:p>
    <w:p w14:paraId="5F522D8F" w14:textId="77777777" w:rsidR="00D44A43" w:rsidRPr="00BA08A6" w:rsidRDefault="00761904">
      <w:pPr>
        <w:pStyle w:val="Heading1"/>
        <w:rPr>
          <w:noProof/>
          <w:lang w:val="fr-FR"/>
        </w:rPr>
      </w:pPr>
      <w:r w:rsidRPr="00BA08A6">
        <w:rPr>
          <w:noProof/>
          <w:lang w:val="fr-FR"/>
        </w:rPr>
        <w:t>Ce que nous avons appris</w:t>
      </w:r>
    </w:p>
    <w:p w14:paraId="6EAA9EFD" w14:textId="77777777" w:rsidR="00D44A43" w:rsidRPr="00BA08A6" w:rsidRDefault="00761904">
      <w:pPr>
        <w:pStyle w:val="Heading2"/>
        <w:rPr>
          <w:noProof/>
          <w:lang w:val="fr-FR"/>
        </w:rPr>
      </w:pPr>
      <w:r w:rsidRPr="00BA08A6">
        <w:rPr>
          <w:noProof/>
          <w:lang w:val="fr-FR"/>
        </w:rPr>
        <w:t>1. La croissance individuelle des OPH nourrit le mouvement</w:t>
      </w:r>
    </w:p>
    <w:p w14:paraId="22A23A29" w14:textId="77777777" w:rsidR="00D44A43" w:rsidRPr="00BA08A6" w:rsidRDefault="00761904">
      <w:pPr>
        <w:spacing w:after="120"/>
        <w:rPr>
          <w:noProof/>
          <w:lang w:val="fr-FR"/>
        </w:rPr>
      </w:pPr>
      <w:r w:rsidRPr="00BA08A6">
        <w:rPr>
          <w:noProof/>
          <w:lang w:val="fr-FR"/>
        </w:rPr>
        <w:t>Soixante-dix-sept OPH ont décrit une croissance de leur capacité organisationnelle, et chacune d'entre elles a également montré des signes de contribution au mouvement plus large à travers le plaidoyer conjoint, la construction de coalitions ou le soutien entre pairs. Les OPH se développent en interne et partagent cette capacité vers l'extérieur par la formation (53 %), le mentorat (35 %) et en tant qu'expertes en la matière (27 %).</w:t>
      </w:r>
    </w:p>
    <w:p w14:paraId="449E0019" w14:textId="77777777" w:rsidR="00D44A43" w:rsidRPr="00BA08A6" w:rsidRDefault="00761904">
      <w:pPr>
        <w:spacing w:before="120" w:after="200"/>
        <w:ind w:left="720" w:right="720"/>
        <w:rPr>
          <w:noProof/>
          <w:lang w:val="fr-FR"/>
        </w:rPr>
      </w:pPr>
      <w:r w:rsidRPr="00BA08A6">
        <w:rPr>
          <w:i/>
          <w:iCs/>
          <w:noProof/>
          <w:lang w:val="fr-FR"/>
        </w:rPr>
        <w:t>« Le DRF a été la source de la croissance de notre organisation, de notre forte visibilité et de l'acquisition de stratégies de plaidoyer solides. Toutes les connexions, collaborations et partenariats que nous avons sont le résultat des fonds du DRF qui, chaque année, augmentent notre visibilité grâce aux projets de plaidoyer que nous mettons en œuvre. »</w:t>
      </w:r>
    </w:p>
    <w:p w14:paraId="7C76AAAD" w14:textId="77777777" w:rsidR="00D44A43" w:rsidRPr="00BA08A6" w:rsidRDefault="00761904">
      <w:pPr>
        <w:spacing w:after="120"/>
        <w:rPr>
          <w:noProof/>
          <w:lang w:val="fr-FR"/>
        </w:rPr>
      </w:pPr>
      <w:r w:rsidRPr="00BA08A6">
        <w:rPr>
          <w:noProof/>
          <w:lang w:val="fr-FR"/>
        </w:rPr>
        <w:lastRenderedPageBreak/>
        <w:t>Parmi les OPH émergentes (actives depuis moins de cinq ans), 76 % font état d'une collaboration étendue. Le travail du DRF avec les organisations plus récentes semble contribuer rapidement au renforcement du mouvement.</w:t>
      </w:r>
    </w:p>
    <w:p w14:paraId="6F7EA8C1" w14:textId="77777777" w:rsidR="00D44A43" w:rsidRPr="00BA08A6" w:rsidRDefault="00761904">
      <w:pPr>
        <w:pStyle w:val="Heading2"/>
        <w:rPr>
          <w:noProof/>
          <w:lang w:val="fr-FR"/>
        </w:rPr>
      </w:pPr>
      <w:r w:rsidRPr="00BA08A6">
        <w:rPr>
          <w:noProof/>
          <w:lang w:val="fr-FR"/>
        </w:rPr>
        <w:t>2. Les OPH sont profondément connectées</w:t>
      </w:r>
    </w:p>
    <w:p w14:paraId="691CE255" w14:textId="77777777" w:rsidR="00D44A43" w:rsidRPr="00BA08A6" w:rsidRDefault="00761904">
      <w:pPr>
        <w:spacing w:after="120"/>
        <w:rPr>
          <w:noProof/>
          <w:lang w:val="fr-FR"/>
        </w:rPr>
      </w:pPr>
      <w:r w:rsidRPr="00BA08A6">
        <w:rPr>
          <w:noProof/>
          <w:lang w:val="fr-FR"/>
        </w:rPr>
        <w:t>Quatre-vingt-un pour cent des OPH ont décrit une collaboration étendue ou très étendue, et 88 % travaillent en partenariat avec au moins une organisation extérieure au mouvement des personnes handicapées. Les partenaires inter-mouvements les plus fréquents sont les organisations de défense des droits des femmes (70 %), les groupes de défense des droits humains (68 %), les organisations de jeunes (53 %) et les groupes de justice climatique (44 %). Les principales activités menées ensemble par les OPH sont le</w:t>
      </w:r>
      <w:r w:rsidRPr="00BA08A6">
        <w:rPr>
          <w:noProof/>
          <w:lang w:val="fr-FR"/>
        </w:rPr>
        <w:t xml:space="preserve"> renforcement partagé des capacités (88 %) et le plaidoyer conjoint (82 %). Presque tous les répondants (97 %) prévoient de collaborer à l'avenir, comme l'a exprimé une OPH :</w:t>
      </w:r>
    </w:p>
    <w:p w14:paraId="1423B837" w14:textId="77777777" w:rsidR="00D44A43" w:rsidRPr="00BA08A6" w:rsidRDefault="00761904">
      <w:pPr>
        <w:spacing w:before="120" w:after="200"/>
        <w:ind w:left="720" w:right="720"/>
        <w:rPr>
          <w:noProof/>
          <w:lang w:val="fr-FR"/>
        </w:rPr>
      </w:pPr>
      <w:r w:rsidRPr="00BA08A6">
        <w:rPr>
          <w:i/>
          <w:iCs/>
          <w:noProof/>
          <w:lang w:val="fr-FR"/>
        </w:rPr>
        <w:t>« Nous prévoyons d'avoir davantage [de collaborations avec d'autres] car cela crée un esprit d'équipe et une voix unique en matière de plaidoyer. »</w:t>
      </w:r>
    </w:p>
    <w:p w14:paraId="395EC795" w14:textId="77777777" w:rsidR="00D44A43" w:rsidRPr="00BA08A6" w:rsidRDefault="00761904">
      <w:pPr>
        <w:pStyle w:val="Heading2"/>
        <w:rPr>
          <w:noProof/>
          <w:lang w:val="fr-FR"/>
        </w:rPr>
      </w:pPr>
      <w:r w:rsidRPr="00BA08A6">
        <w:rPr>
          <w:noProof/>
          <w:lang w:val="fr-FR"/>
        </w:rPr>
        <w:t>3. Les OPH partagent leurs connaissances généreusement</w:t>
      </w:r>
    </w:p>
    <w:p w14:paraId="041B826A" w14:textId="77777777" w:rsidR="00D44A43" w:rsidRPr="00BA08A6" w:rsidRDefault="00761904">
      <w:pPr>
        <w:spacing w:after="120"/>
        <w:rPr>
          <w:noProof/>
          <w:lang w:val="fr-FR"/>
        </w:rPr>
      </w:pPr>
      <w:r w:rsidRPr="00BA08A6">
        <w:rPr>
          <w:noProof/>
          <w:lang w:val="fr-FR"/>
        </w:rPr>
        <w:t>Quatre-vingts pour cent des OPH ont apporté des contributions significatives à l'apprentissage d'autres. Les domaines les plus partagés sont les pratiques d'accessibilité (79 %) et les stratégies de plaidoyer (78 %). Les OPH partagent le plus dans les conférences (56 %), les formations (53 %) et les échanges entre pairs (37 %), comme l'explique une OPH :</w:t>
      </w:r>
    </w:p>
    <w:p w14:paraId="2E66C379" w14:textId="77777777" w:rsidR="00D44A43" w:rsidRPr="00BA08A6" w:rsidRDefault="00761904">
      <w:pPr>
        <w:spacing w:before="120" w:after="200"/>
        <w:ind w:left="720" w:right="720"/>
        <w:rPr>
          <w:noProof/>
          <w:lang w:val="fr-FR"/>
        </w:rPr>
      </w:pPr>
      <w:r w:rsidRPr="00BA08A6">
        <w:rPr>
          <w:i/>
          <w:iCs/>
          <w:noProof/>
          <w:lang w:val="fr-FR"/>
        </w:rPr>
        <w:t>« Étant l'une des organisations émergentes, nous nous concentrons davantage sur les apprentissages qui existent dans le domaine depuis longtemps . . . pour créer une inclusion significative. »</w:t>
      </w:r>
    </w:p>
    <w:p w14:paraId="3765BDD1" w14:textId="77777777" w:rsidR="00D44A43" w:rsidRPr="00BA08A6" w:rsidRDefault="00761904">
      <w:pPr>
        <w:pStyle w:val="Heading2"/>
        <w:rPr>
          <w:noProof/>
          <w:lang w:val="fr-FR"/>
        </w:rPr>
      </w:pPr>
      <w:r w:rsidRPr="00BA08A6">
        <w:rPr>
          <w:noProof/>
          <w:lang w:val="fr-FR"/>
        </w:rPr>
        <w:t>4. Utiliser ce qui est appris des autres est plus difficile</w:t>
      </w:r>
    </w:p>
    <w:p w14:paraId="552FD1FE" w14:textId="77777777" w:rsidR="00D44A43" w:rsidRPr="00BA08A6" w:rsidRDefault="00761904">
      <w:pPr>
        <w:spacing w:after="120"/>
        <w:rPr>
          <w:noProof/>
          <w:lang w:val="fr-FR"/>
        </w:rPr>
      </w:pPr>
      <w:r w:rsidRPr="00BA08A6">
        <w:rPr>
          <w:noProof/>
          <w:lang w:val="fr-FR"/>
        </w:rPr>
        <w:t>Bien que les OPH partagent largement leurs connaissances, moins d'entre elles appliquent ce qu'elles apprennent des autres. Cinquante et un pour cent ont déclaré avoir beaucoup utilisé ce qu'elles avaient appris, tandis que 43 % en ont utilisé une partie. Dans chaque domaine de connaissance, à l'exception du safeguarding, davantage d'OPH partagent leurs connaissances qu'elles ne les appliquent, comme le montre le tableau ci-dessous.</w:t>
      </w:r>
    </w:p>
    <w:p w14:paraId="2697D9A9" w14:textId="77777777" w:rsidR="00D44A43" w:rsidRPr="00BA08A6" w:rsidRDefault="00761904">
      <w:pPr>
        <w:pStyle w:val="Heading3"/>
        <w:rPr>
          <w:noProof/>
          <w:lang w:val="fr-FR"/>
        </w:rPr>
      </w:pPr>
      <w:r w:rsidRPr="00BA08A6">
        <w:rPr>
          <w:noProof/>
          <w:lang w:val="fr-FR"/>
        </w:rPr>
        <w:t>Tableau 1 : Quantité de connaissances partagées vs appliquées</w:t>
      </w:r>
    </w:p>
    <w:p w14:paraId="2A8600D0" w14:textId="77777777" w:rsidR="00D44A43" w:rsidRPr="00BA08A6" w:rsidRDefault="00761904">
      <w:pPr>
        <w:spacing w:after="120"/>
        <w:rPr>
          <w:noProof/>
          <w:lang w:val="fr-FR"/>
        </w:rPr>
      </w:pPr>
      <w:r w:rsidRPr="00BA08A6">
        <w:rPr>
          <w:b/>
          <w:bCs/>
          <w:noProof/>
          <w:lang w:val="fr-FR"/>
        </w:rPr>
        <w:t xml:space="preserve">Description du tableau : </w:t>
      </w:r>
      <w:r w:rsidRPr="00BA08A6">
        <w:rPr>
          <w:noProof/>
          <w:lang w:val="fr-FR"/>
        </w:rPr>
        <w:t>Le tableau ci-dessous compare le pourcentage d'OPH ayant partagé leurs connaissances dans sept domaines avec le pourcentage les ayant appliquées. Il comprend trois colonnes : Domaine de connaissance, Partagé et Appliqué. Sept lignes de données suivent la ligne d'en-tête.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2340"/>
        <w:gridCol w:w="2340"/>
      </w:tblGrid>
      <w:tr w:rsidR="00D44A43" w:rsidRPr="00BA08A6" w14:paraId="4A3249AC" w14:textId="77777777">
        <w:tblPrEx>
          <w:tblCellMar>
            <w:top w:w="0" w:type="dxa"/>
            <w:bottom w:w="0" w:type="dxa"/>
          </w:tblCellMar>
        </w:tblPrEx>
        <w:trPr>
          <w:tblHeader/>
        </w:trPr>
        <w:tc>
          <w:tcPr>
            <w:tcW w:w="4680" w:type="dxa"/>
            <w:tcBorders>
              <w:top w:val="single" w:sz="4" w:space="0" w:color="888888"/>
              <w:left w:val="single" w:sz="4" w:space="0" w:color="888888"/>
              <w:bottom w:val="single" w:sz="4" w:space="0" w:color="888888"/>
              <w:right w:val="single" w:sz="4" w:space="0" w:color="888888"/>
            </w:tcBorders>
            <w:shd w:val="clear" w:color="auto" w:fill="D5E8F0"/>
            <w:tcMar>
              <w:top w:w="100" w:type="dxa"/>
              <w:left w:w="140" w:type="dxa"/>
              <w:bottom w:w="100" w:type="dxa"/>
              <w:right w:w="140" w:type="dxa"/>
            </w:tcMar>
          </w:tcPr>
          <w:p w14:paraId="71D9EBEC" w14:textId="77777777" w:rsidR="00D44A43" w:rsidRPr="00BA08A6" w:rsidRDefault="00761904">
            <w:pPr>
              <w:rPr>
                <w:noProof/>
                <w:lang w:val="fr-FR"/>
              </w:rPr>
            </w:pPr>
            <w:r w:rsidRPr="00BA08A6">
              <w:rPr>
                <w:b/>
                <w:bCs/>
                <w:noProof/>
                <w:lang w:val="fr-FR"/>
              </w:rPr>
              <w:t>Domaine de connaissance</w:t>
            </w:r>
          </w:p>
        </w:tc>
        <w:tc>
          <w:tcPr>
            <w:tcW w:w="2340" w:type="dxa"/>
            <w:tcBorders>
              <w:top w:val="single" w:sz="4" w:space="0" w:color="888888"/>
              <w:left w:val="single" w:sz="4" w:space="0" w:color="888888"/>
              <w:bottom w:val="single" w:sz="4" w:space="0" w:color="888888"/>
              <w:right w:val="single" w:sz="4" w:space="0" w:color="888888"/>
            </w:tcBorders>
            <w:shd w:val="clear" w:color="auto" w:fill="D5E8F0"/>
            <w:tcMar>
              <w:top w:w="100" w:type="dxa"/>
              <w:left w:w="140" w:type="dxa"/>
              <w:bottom w:w="100" w:type="dxa"/>
              <w:right w:w="140" w:type="dxa"/>
            </w:tcMar>
          </w:tcPr>
          <w:p w14:paraId="503CBE0F" w14:textId="77777777" w:rsidR="00D44A43" w:rsidRPr="00BA08A6" w:rsidRDefault="00761904">
            <w:pPr>
              <w:rPr>
                <w:noProof/>
                <w:lang w:val="fr-FR"/>
              </w:rPr>
            </w:pPr>
            <w:r w:rsidRPr="00BA08A6">
              <w:rPr>
                <w:b/>
                <w:bCs/>
                <w:noProof/>
                <w:lang w:val="fr-FR"/>
              </w:rPr>
              <w:t>Partagé</w:t>
            </w:r>
          </w:p>
        </w:tc>
        <w:tc>
          <w:tcPr>
            <w:tcW w:w="2340" w:type="dxa"/>
            <w:tcBorders>
              <w:top w:val="single" w:sz="4" w:space="0" w:color="888888"/>
              <w:left w:val="single" w:sz="4" w:space="0" w:color="888888"/>
              <w:bottom w:val="single" w:sz="4" w:space="0" w:color="888888"/>
              <w:right w:val="single" w:sz="4" w:space="0" w:color="888888"/>
            </w:tcBorders>
            <w:shd w:val="clear" w:color="auto" w:fill="D5E8F0"/>
            <w:tcMar>
              <w:top w:w="100" w:type="dxa"/>
              <w:left w:w="140" w:type="dxa"/>
              <w:bottom w:w="100" w:type="dxa"/>
              <w:right w:w="140" w:type="dxa"/>
            </w:tcMar>
          </w:tcPr>
          <w:p w14:paraId="455432EB" w14:textId="77777777" w:rsidR="00D44A43" w:rsidRPr="00BA08A6" w:rsidRDefault="00761904">
            <w:pPr>
              <w:rPr>
                <w:noProof/>
                <w:lang w:val="fr-FR"/>
              </w:rPr>
            </w:pPr>
            <w:r w:rsidRPr="00BA08A6">
              <w:rPr>
                <w:b/>
                <w:bCs/>
                <w:noProof/>
                <w:lang w:val="fr-FR"/>
              </w:rPr>
              <w:t>Appliqué</w:t>
            </w:r>
          </w:p>
        </w:tc>
      </w:tr>
      <w:tr w:rsidR="00D44A43" w:rsidRPr="00BA08A6" w14:paraId="7A2BBDFF"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06411F55" w14:textId="77777777" w:rsidR="00D44A43" w:rsidRPr="00BA08A6" w:rsidRDefault="00761904">
            <w:pPr>
              <w:rPr>
                <w:noProof/>
                <w:lang w:val="fr-FR"/>
              </w:rPr>
            </w:pPr>
            <w:r w:rsidRPr="00BA08A6">
              <w:rPr>
                <w:noProof/>
                <w:lang w:val="fr-FR"/>
              </w:rPr>
              <w:t>Pratiques d'accessibilité</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0B5BBD2C" w14:textId="77777777" w:rsidR="00D44A43" w:rsidRPr="00BA08A6" w:rsidRDefault="00761904">
            <w:pPr>
              <w:rPr>
                <w:noProof/>
                <w:lang w:val="fr-FR"/>
              </w:rPr>
            </w:pPr>
            <w:r w:rsidRPr="00BA08A6">
              <w:rPr>
                <w:noProof/>
                <w:lang w:val="fr-FR"/>
              </w:rPr>
              <w:t>79 %</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59750ACA" w14:textId="77777777" w:rsidR="00D44A43" w:rsidRPr="00BA08A6" w:rsidRDefault="00761904">
            <w:pPr>
              <w:rPr>
                <w:noProof/>
                <w:lang w:val="fr-FR"/>
              </w:rPr>
            </w:pPr>
            <w:r w:rsidRPr="00BA08A6">
              <w:rPr>
                <w:noProof/>
                <w:lang w:val="fr-FR"/>
              </w:rPr>
              <w:t>14 %</w:t>
            </w:r>
          </w:p>
        </w:tc>
      </w:tr>
      <w:tr w:rsidR="00D44A43" w:rsidRPr="00BA08A6" w14:paraId="65B01A20"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7B24DEF0" w14:textId="77777777" w:rsidR="00D44A43" w:rsidRPr="00BA08A6" w:rsidRDefault="00761904">
            <w:pPr>
              <w:rPr>
                <w:noProof/>
                <w:lang w:val="fr-FR"/>
              </w:rPr>
            </w:pPr>
            <w:r w:rsidRPr="00BA08A6">
              <w:rPr>
                <w:noProof/>
                <w:lang w:val="fr-FR"/>
              </w:rPr>
              <w:t>Stratégies de plaidoyer</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50898E67" w14:textId="77777777" w:rsidR="00D44A43" w:rsidRPr="00BA08A6" w:rsidRDefault="00761904">
            <w:pPr>
              <w:rPr>
                <w:noProof/>
                <w:lang w:val="fr-FR"/>
              </w:rPr>
            </w:pPr>
            <w:r w:rsidRPr="00BA08A6">
              <w:rPr>
                <w:noProof/>
                <w:lang w:val="fr-FR"/>
              </w:rPr>
              <w:t>78 %</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4828F0F1" w14:textId="77777777" w:rsidR="00D44A43" w:rsidRPr="00BA08A6" w:rsidRDefault="00761904">
            <w:pPr>
              <w:rPr>
                <w:noProof/>
                <w:lang w:val="fr-FR"/>
              </w:rPr>
            </w:pPr>
            <w:r w:rsidRPr="00BA08A6">
              <w:rPr>
                <w:noProof/>
                <w:lang w:val="fr-FR"/>
              </w:rPr>
              <w:t>20 %</w:t>
            </w:r>
          </w:p>
        </w:tc>
      </w:tr>
      <w:tr w:rsidR="00D44A43" w:rsidRPr="00BA08A6" w14:paraId="6E48CB06"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2FE72FE4" w14:textId="77777777" w:rsidR="00D44A43" w:rsidRPr="00BA08A6" w:rsidRDefault="00761904">
            <w:pPr>
              <w:rPr>
                <w:noProof/>
                <w:lang w:val="fr-FR"/>
              </w:rPr>
            </w:pPr>
            <w:r w:rsidRPr="00BA08A6">
              <w:rPr>
                <w:noProof/>
                <w:lang w:val="fr-FR"/>
              </w:rPr>
              <w:t>Changement politique et juridique</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532517BE" w14:textId="77777777" w:rsidR="00D44A43" w:rsidRPr="00BA08A6" w:rsidRDefault="00761904">
            <w:pPr>
              <w:rPr>
                <w:noProof/>
                <w:lang w:val="fr-FR"/>
              </w:rPr>
            </w:pPr>
            <w:r w:rsidRPr="00BA08A6">
              <w:rPr>
                <w:noProof/>
                <w:lang w:val="fr-FR"/>
              </w:rPr>
              <w:t>60 %</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510CACAA" w14:textId="77777777" w:rsidR="00D44A43" w:rsidRPr="00BA08A6" w:rsidRDefault="00761904">
            <w:pPr>
              <w:rPr>
                <w:noProof/>
                <w:lang w:val="fr-FR"/>
              </w:rPr>
            </w:pPr>
            <w:r w:rsidRPr="00BA08A6">
              <w:rPr>
                <w:noProof/>
                <w:lang w:val="fr-FR"/>
              </w:rPr>
              <w:t>15 %</w:t>
            </w:r>
          </w:p>
        </w:tc>
      </w:tr>
      <w:tr w:rsidR="00D44A43" w:rsidRPr="00BA08A6" w14:paraId="66E251DC"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79A19A24" w14:textId="77777777" w:rsidR="00D44A43" w:rsidRPr="00BA08A6" w:rsidRDefault="00761904">
            <w:pPr>
              <w:rPr>
                <w:noProof/>
                <w:lang w:val="fr-FR"/>
              </w:rPr>
            </w:pPr>
            <w:r w:rsidRPr="00BA08A6">
              <w:rPr>
                <w:noProof/>
                <w:lang w:val="fr-FR"/>
              </w:rPr>
              <w:t>Communications</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47A345BF" w14:textId="77777777" w:rsidR="00D44A43" w:rsidRPr="00BA08A6" w:rsidRDefault="00761904">
            <w:pPr>
              <w:rPr>
                <w:noProof/>
                <w:lang w:val="fr-FR"/>
              </w:rPr>
            </w:pPr>
            <w:r w:rsidRPr="00BA08A6">
              <w:rPr>
                <w:noProof/>
                <w:lang w:val="fr-FR"/>
              </w:rPr>
              <w:t>47 %</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5DB7952A" w14:textId="77777777" w:rsidR="00D44A43" w:rsidRPr="00BA08A6" w:rsidRDefault="00761904">
            <w:pPr>
              <w:rPr>
                <w:noProof/>
                <w:lang w:val="fr-FR"/>
              </w:rPr>
            </w:pPr>
            <w:r w:rsidRPr="00BA08A6">
              <w:rPr>
                <w:noProof/>
                <w:lang w:val="fr-FR"/>
              </w:rPr>
              <w:t>4 %</w:t>
            </w:r>
          </w:p>
        </w:tc>
      </w:tr>
      <w:tr w:rsidR="00D44A43" w:rsidRPr="00BA08A6" w14:paraId="6187AD0A"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136B4A74" w14:textId="77777777" w:rsidR="00D44A43" w:rsidRPr="00BA08A6" w:rsidRDefault="00761904">
            <w:pPr>
              <w:rPr>
                <w:noProof/>
                <w:lang w:val="fr-FR"/>
              </w:rPr>
            </w:pPr>
            <w:r w:rsidRPr="00BA08A6">
              <w:rPr>
                <w:noProof/>
                <w:lang w:val="fr-FR"/>
              </w:rPr>
              <w:lastRenderedPageBreak/>
              <w:t>Organisation communautaire</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1613FC57" w14:textId="77777777" w:rsidR="00D44A43" w:rsidRPr="00BA08A6" w:rsidRDefault="00761904">
            <w:pPr>
              <w:rPr>
                <w:noProof/>
                <w:lang w:val="fr-FR"/>
              </w:rPr>
            </w:pPr>
            <w:r w:rsidRPr="00BA08A6">
              <w:rPr>
                <w:noProof/>
                <w:lang w:val="fr-FR"/>
              </w:rPr>
              <w:t>50 %</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17C451ED" w14:textId="77777777" w:rsidR="00D44A43" w:rsidRPr="00BA08A6" w:rsidRDefault="00761904">
            <w:pPr>
              <w:rPr>
                <w:noProof/>
                <w:lang w:val="fr-FR"/>
              </w:rPr>
            </w:pPr>
            <w:r w:rsidRPr="00BA08A6">
              <w:rPr>
                <w:noProof/>
                <w:lang w:val="fr-FR"/>
              </w:rPr>
              <w:t>8 %</w:t>
            </w:r>
          </w:p>
        </w:tc>
      </w:tr>
      <w:tr w:rsidR="00D44A43" w:rsidRPr="00BA08A6" w14:paraId="6427E067"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2D063E76" w14:textId="77777777" w:rsidR="00D44A43" w:rsidRPr="00BA08A6" w:rsidRDefault="00761904">
            <w:pPr>
              <w:rPr>
                <w:noProof/>
                <w:lang w:val="fr-FR"/>
              </w:rPr>
            </w:pPr>
            <w:r w:rsidRPr="00BA08A6">
              <w:rPr>
                <w:noProof/>
                <w:lang w:val="fr-FR"/>
              </w:rPr>
              <w:t>Gestion organisationnelle</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639708EF" w14:textId="77777777" w:rsidR="00D44A43" w:rsidRPr="00BA08A6" w:rsidRDefault="00761904">
            <w:pPr>
              <w:rPr>
                <w:noProof/>
                <w:lang w:val="fr-FR"/>
              </w:rPr>
            </w:pPr>
            <w:r w:rsidRPr="00BA08A6">
              <w:rPr>
                <w:noProof/>
                <w:lang w:val="fr-FR"/>
              </w:rPr>
              <w:t>40 %</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343EB163" w14:textId="77777777" w:rsidR="00D44A43" w:rsidRPr="00BA08A6" w:rsidRDefault="00761904">
            <w:pPr>
              <w:rPr>
                <w:noProof/>
                <w:lang w:val="fr-FR"/>
              </w:rPr>
            </w:pPr>
            <w:r w:rsidRPr="00BA08A6">
              <w:rPr>
                <w:noProof/>
                <w:lang w:val="fr-FR"/>
              </w:rPr>
              <w:t>8 %</w:t>
            </w:r>
          </w:p>
        </w:tc>
      </w:tr>
      <w:tr w:rsidR="00D44A43" w:rsidRPr="00BA08A6" w14:paraId="7C51BC06" w14:textId="77777777">
        <w:tblPrEx>
          <w:tblCellMar>
            <w:top w:w="0" w:type="dxa"/>
            <w:bottom w:w="0" w:type="dxa"/>
          </w:tblCellMar>
        </w:tblPrEx>
        <w:tc>
          <w:tcPr>
            <w:tcW w:w="468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68D8CD85" w14:textId="77777777" w:rsidR="00D44A43" w:rsidRPr="00BA08A6" w:rsidRDefault="00761904">
            <w:pPr>
              <w:rPr>
                <w:noProof/>
                <w:lang w:val="fr-FR"/>
              </w:rPr>
            </w:pPr>
            <w:r w:rsidRPr="00BA08A6">
              <w:rPr>
                <w:noProof/>
                <w:lang w:val="fr-FR"/>
              </w:rPr>
              <w:t>Safeguarding</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60515C0E" w14:textId="77777777" w:rsidR="00D44A43" w:rsidRPr="00BA08A6" w:rsidRDefault="00761904">
            <w:pPr>
              <w:rPr>
                <w:noProof/>
                <w:lang w:val="fr-FR"/>
              </w:rPr>
            </w:pPr>
            <w:r w:rsidRPr="00BA08A6">
              <w:rPr>
                <w:noProof/>
                <w:lang w:val="fr-FR"/>
              </w:rPr>
              <w:t>5 %</w:t>
            </w:r>
          </w:p>
        </w:tc>
        <w:tc>
          <w:tcPr>
            <w:tcW w:w="2340" w:type="dxa"/>
            <w:tcBorders>
              <w:top w:val="single" w:sz="4" w:space="0" w:color="888888"/>
              <w:left w:val="single" w:sz="4" w:space="0" w:color="888888"/>
              <w:bottom w:val="single" w:sz="4" w:space="0" w:color="888888"/>
              <w:right w:val="single" w:sz="4" w:space="0" w:color="888888"/>
            </w:tcBorders>
            <w:tcMar>
              <w:top w:w="80" w:type="dxa"/>
              <w:left w:w="140" w:type="dxa"/>
              <w:bottom w:w="80" w:type="dxa"/>
              <w:right w:w="140" w:type="dxa"/>
            </w:tcMar>
          </w:tcPr>
          <w:p w14:paraId="2C455EC7" w14:textId="77777777" w:rsidR="00D44A43" w:rsidRPr="00BA08A6" w:rsidRDefault="00761904">
            <w:pPr>
              <w:rPr>
                <w:noProof/>
                <w:lang w:val="fr-FR"/>
              </w:rPr>
            </w:pPr>
            <w:r w:rsidRPr="00BA08A6">
              <w:rPr>
                <w:noProof/>
                <w:lang w:val="fr-FR"/>
              </w:rPr>
              <w:t>12 %</w:t>
            </w:r>
          </w:p>
        </w:tc>
      </w:tr>
    </w:tbl>
    <w:p w14:paraId="66A73A2C" w14:textId="77777777" w:rsidR="00D44A43" w:rsidRPr="00BA08A6" w:rsidRDefault="00D44A43">
      <w:pPr>
        <w:spacing w:after="200"/>
        <w:rPr>
          <w:noProof/>
          <w:lang w:val="fr-FR"/>
        </w:rPr>
      </w:pPr>
    </w:p>
    <w:p w14:paraId="386F9DE6" w14:textId="77777777" w:rsidR="00D44A43" w:rsidRPr="00BA08A6" w:rsidRDefault="00761904">
      <w:pPr>
        <w:spacing w:after="120"/>
        <w:rPr>
          <w:noProof/>
          <w:lang w:val="fr-FR"/>
        </w:rPr>
      </w:pPr>
      <w:r w:rsidRPr="00BA08A6">
        <w:rPr>
          <w:noProof/>
          <w:lang w:val="fr-FR"/>
        </w:rPr>
        <w:t>Le safeguarding constitue l'exception. Davantage d'OPH renforcent leur capacité interne en matière de safeguarding (12 %) qu'elles ne la partagent à l'extérieur (5 %). Ce schéma inversé mérite d'être exploré avec les partenaires.</w:t>
      </w:r>
    </w:p>
    <w:p w14:paraId="2D095A52" w14:textId="77777777" w:rsidR="00D44A43" w:rsidRPr="00BA08A6" w:rsidRDefault="00761904">
      <w:pPr>
        <w:pStyle w:val="Heading2"/>
        <w:rPr>
          <w:noProof/>
          <w:lang w:val="fr-FR"/>
        </w:rPr>
      </w:pPr>
      <w:r w:rsidRPr="00BA08A6">
        <w:rPr>
          <w:noProof/>
          <w:lang w:val="fr-FR"/>
        </w:rPr>
        <w:t>5. La réponse aux crises mobilise les mêmes outils que le travail quotidien</w:t>
      </w:r>
    </w:p>
    <w:p w14:paraId="5ADAC67E" w14:textId="77777777" w:rsidR="00D44A43" w:rsidRPr="00BA08A6" w:rsidRDefault="00761904">
      <w:pPr>
        <w:spacing w:after="120"/>
        <w:rPr>
          <w:noProof/>
          <w:lang w:val="fr-FR"/>
        </w:rPr>
      </w:pPr>
      <w:r w:rsidRPr="00BA08A6">
        <w:rPr>
          <w:noProof/>
          <w:lang w:val="fr-FR"/>
        </w:rPr>
        <w:t>Trente-neuf pour cent des répondants ont décrit travailler dans des contextes de crise ou humanitaires. Parmi ces répondants, près de la moitié ont noté un partenariat avec des organisations climatiques, faisant de la justice climatique le domaine le plus fort de collaboration liée aux crises.</w:t>
      </w:r>
    </w:p>
    <w:p w14:paraId="15FDAD49" w14:textId="77777777" w:rsidR="00D44A43" w:rsidRPr="00BA08A6" w:rsidRDefault="00761904">
      <w:pPr>
        <w:spacing w:after="120"/>
        <w:rPr>
          <w:noProof/>
          <w:lang w:val="fr-FR"/>
        </w:rPr>
      </w:pPr>
      <w:r w:rsidRPr="00BA08A6">
        <w:rPr>
          <w:noProof/>
          <w:lang w:val="fr-FR"/>
        </w:rPr>
        <w:t>Globalement, les modes de collaboration et d'apprentissage sont très similaires à ceux des autres OPH. Cela suggère que les OPH n'ont pas de mode crise distinct ; elles répondent en utilisant les mêmes outils que pour tout leur travail : plaidoyer conjoint, renforcement des capacités et apprentissage entre pairs.</w:t>
      </w:r>
    </w:p>
    <w:p w14:paraId="3FED975F" w14:textId="77777777" w:rsidR="00D44A43" w:rsidRPr="00BA08A6" w:rsidRDefault="00761904">
      <w:pPr>
        <w:pStyle w:val="Heading2"/>
        <w:rPr>
          <w:noProof/>
          <w:lang w:val="fr-FR"/>
        </w:rPr>
      </w:pPr>
      <w:r w:rsidRPr="00BA08A6">
        <w:rPr>
          <w:noProof/>
          <w:lang w:val="fr-FR"/>
        </w:rPr>
        <w:t>6. Les OPH protègent les acquis politiques, pas seulement les obtiennent</w:t>
      </w:r>
    </w:p>
    <w:p w14:paraId="18D4E6CA" w14:textId="77777777" w:rsidR="00D44A43" w:rsidRPr="00BA08A6" w:rsidRDefault="00761904">
      <w:pPr>
        <w:spacing w:after="120"/>
        <w:rPr>
          <w:noProof/>
          <w:lang w:val="fr-FR"/>
        </w:rPr>
      </w:pPr>
      <w:r w:rsidRPr="00BA08A6">
        <w:rPr>
          <w:noProof/>
          <w:lang w:val="fr-FR"/>
        </w:rPr>
        <w:t>Les OPH sont engagées sur l'ensemble du cycle politique. Quatre-vingt-douze pour cent poussent pour de nouveaux changements de politique, tandis que 85 % surveillent la mise en œuvre des politiques existantes. Le plus courant est le plaidoyer conjoint (82 %) et le travail direct avec les ministères ou le parlement (42 %).</w:t>
      </w:r>
    </w:p>
    <w:p w14:paraId="3AA68D9A" w14:textId="77777777" w:rsidR="00D44A43" w:rsidRPr="00BA08A6" w:rsidRDefault="00761904">
      <w:pPr>
        <w:spacing w:after="120"/>
        <w:rPr>
          <w:noProof/>
          <w:lang w:val="fr-FR"/>
        </w:rPr>
      </w:pPr>
      <w:r w:rsidRPr="00BA08A6">
        <w:rPr>
          <w:noProof/>
          <w:lang w:val="fr-FR"/>
        </w:rPr>
        <w:t>Le contexte de ce travail devient plus difficile. Les OPH répondantes ont décrit un écosystème de financement qui se referme et un paysage juridique en mutation qui exigent une planification plus délibérée.</w:t>
      </w:r>
    </w:p>
    <w:p w14:paraId="22932BF5" w14:textId="77777777" w:rsidR="00D44A43" w:rsidRPr="00BA08A6" w:rsidRDefault="00761904">
      <w:pPr>
        <w:spacing w:before="120" w:after="200"/>
        <w:ind w:left="720" w:right="720"/>
        <w:rPr>
          <w:noProof/>
          <w:lang w:val="fr-FR"/>
        </w:rPr>
      </w:pPr>
      <w:r w:rsidRPr="00BA08A6">
        <w:rPr>
          <w:i/>
          <w:iCs/>
          <w:noProof/>
          <w:lang w:val="fr-FR"/>
        </w:rPr>
        <w:t>« À mesure que nous grandissons et opérons dans un écosystème de financement qui se referme, nous avons dû prendre des décisions intentionnelles et réfléchies sur les pratiques que nous sommes en mesure de mettre pleinement en œuvre et/ou de maintenir — souhaitant honorer à la fois le budget et les communautés que nous servons . . . [cela] signifie que nous devons parfois faire une pause et évaluer soigneusement les implications potentielles de nouvelles façons de travailler. »</w:t>
      </w:r>
    </w:p>
    <w:p w14:paraId="030A15C6" w14:textId="77777777" w:rsidR="00D44A43" w:rsidRPr="00BA08A6" w:rsidRDefault="00761904">
      <w:pPr>
        <w:spacing w:after="120"/>
        <w:rPr>
          <w:noProof/>
          <w:lang w:val="fr-FR"/>
        </w:rPr>
      </w:pPr>
      <w:r w:rsidRPr="00BA08A6">
        <w:rPr>
          <w:noProof/>
          <w:lang w:val="fr-FR"/>
        </w:rPr>
        <w:t>Les OPH émergentes sont presque aussi actives que les OPH établies : 80 % font du plaidoyer conjoint, contre 82 % au global.</w:t>
      </w:r>
    </w:p>
    <w:p w14:paraId="34F1F026" w14:textId="77777777" w:rsidR="00D44A43" w:rsidRPr="00BA08A6" w:rsidRDefault="00761904">
      <w:pPr>
        <w:pStyle w:val="Heading2"/>
        <w:rPr>
          <w:noProof/>
          <w:lang w:val="fr-FR"/>
        </w:rPr>
      </w:pPr>
      <w:r w:rsidRPr="00BA08A6">
        <w:rPr>
          <w:noProof/>
          <w:lang w:val="fr-FR"/>
        </w:rPr>
        <w:t>7. Le mouvement construit un pouvoir collectif</w:t>
      </w:r>
    </w:p>
    <w:p w14:paraId="4096A385" w14:textId="77777777" w:rsidR="00D44A43" w:rsidRPr="00BA08A6" w:rsidRDefault="00761904">
      <w:pPr>
        <w:spacing w:after="120"/>
        <w:rPr>
          <w:noProof/>
          <w:lang w:val="fr-FR"/>
        </w:rPr>
      </w:pPr>
      <w:r w:rsidRPr="00BA08A6">
        <w:rPr>
          <w:noProof/>
          <w:lang w:val="fr-FR"/>
        </w:rPr>
        <w:lastRenderedPageBreak/>
        <w:t>Presque toutes les OPH (97 %) montrent des signes de construction d'un pouvoir collectif, combinant de larges partenariats avec le soutien mutuel, l'organisation communautaire ou la planification conjointe. La légitimité du mouvement est également forte : 92 % bénéficient d'une reconnaissance institutionnelle à travers l'engagement avec le gouvernement ou la visibilité publique.</w:t>
      </w:r>
    </w:p>
    <w:p w14:paraId="6E0BFB42" w14:textId="77777777" w:rsidR="00D44A43" w:rsidRPr="00BA08A6" w:rsidRDefault="00761904">
      <w:pPr>
        <w:spacing w:after="120"/>
        <w:rPr>
          <w:noProof/>
          <w:lang w:val="fr-FR"/>
        </w:rPr>
      </w:pPr>
      <w:r w:rsidRPr="00BA08A6">
        <w:rPr>
          <w:noProof/>
          <w:lang w:val="fr-FR"/>
        </w:rPr>
        <w:t>Il est important de souligner que le renforcement du mouvement va au-delà des victoires en matière de plaidoyer. Un tiers des OPH s'engagent dans le soutien mutuel ou les soins collectifs, et plus d'un tiers ont décrit leur travail à travers une lentille intersectionnelle liée au genre, au climat, aux droits autochtones ou aux mouvements LGBTQI+.</w:t>
      </w:r>
    </w:p>
    <w:p w14:paraId="5CB2F9ED" w14:textId="77777777" w:rsidR="00D44A43" w:rsidRPr="00BA08A6" w:rsidRDefault="00761904">
      <w:pPr>
        <w:pStyle w:val="Heading1"/>
        <w:rPr>
          <w:noProof/>
          <w:lang w:val="fr-FR"/>
        </w:rPr>
      </w:pPr>
      <w:r w:rsidRPr="00BA08A6">
        <w:rPr>
          <w:noProof/>
          <w:lang w:val="fr-FR"/>
        </w:rPr>
        <w:t>Ce que les OPH ont dit au DRF</w:t>
      </w:r>
    </w:p>
    <w:p w14:paraId="592AE8F7" w14:textId="77777777" w:rsidR="00D44A43" w:rsidRPr="00BA08A6" w:rsidRDefault="00761904">
      <w:pPr>
        <w:spacing w:after="120"/>
        <w:rPr>
          <w:noProof/>
          <w:lang w:val="fr-FR"/>
        </w:rPr>
      </w:pPr>
      <w:r w:rsidRPr="00BA08A6">
        <w:rPr>
          <w:noProof/>
          <w:lang w:val="fr-FR"/>
        </w:rPr>
        <w:t>Presque toutes les OPH répondantes (93 %) ont déclaré que le partenariat avec le DRF les aide au-delà du financement. Par ailleurs, les éléments que les OPH apprécient le plus du DRF sont :</w:t>
      </w:r>
    </w:p>
    <w:p w14:paraId="5E382CD6" w14:textId="77777777" w:rsidR="00D44A43" w:rsidRPr="00BA08A6" w:rsidRDefault="00761904">
      <w:pPr>
        <w:pStyle w:val="ListParagraph"/>
        <w:numPr>
          <w:ilvl w:val="0"/>
          <w:numId w:val="2"/>
        </w:numPr>
        <w:spacing w:after="80"/>
        <w:rPr>
          <w:noProof/>
          <w:lang w:val="fr-FR"/>
        </w:rPr>
      </w:pPr>
      <w:r w:rsidRPr="00BA08A6">
        <w:rPr>
          <w:noProof/>
          <w:lang w:val="fr-FR"/>
        </w:rPr>
        <w:t>Le financement que le DRF fournit</w:t>
      </w:r>
    </w:p>
    <w:p w14:paraId="2C1CF72B" w14:textId="77777777" w:rsidR="00D44A43" w:rsidRPr="00BA08A6" w:rsidRDefault="00761904">
      <w:pPr>
        <w:pStyle w:val="ListParagraph"/>
        <w:numPr>
          <w:ilvl w:val="0"/>
          <w:numId w:val="2"/>
        </w:numPr>
        <w:spacing w:after="80"/>
        <w:rPr>
          <w:noProof/>
          <w:lang w:val="fr-FR"/>
        </w:rPr>
      </w:pPr>
      <w:r w:rsidRPr="00BA08A6">
        <w:rPr>
          <w:noProof/>
          <w:lang w:val="fr-FR"/>
        </w:rPr>
        <w:t>La relation avec le DRF</w:t>
      </w:r>
    </w:p>
    <w:p w14:paraId="6E42F5E6" w14:textId="77777777" w:rsidR="00D44A43" w:rsidRPr="00BA08A6" w:rsidRDefault="00761904">
      <w:pPr>
        <w:pStyle w:val="ListParagraph"/>
        <w:numPr>
          <w:ilvl w:val="0"/>
          <w:numId w:val="2"/>
        </w:numPr>
        <w:spacing w:after="80"/>
        <w:rPr>
          <w:noProof/>
          <w:lang w:val="fr-FR"/>
        </w:rPr>
      </w:pPr>
      <w:r w:rsidRPr="00BA08A6">
        <w:rPr>
          <w:noProof/>
          <w:lang w:val="fr-FR"/>
        </w:rPr>
        <w:t>L'appui pour renforcer leurs organisations</w:t>
      </w:r>
    </w:p>
    <w:p w14:paraId="19E06B1F" w14:textId="77777777" w:rsidR="00D44A43" w:rsidRPr="00BA08A6" w:rsidRDefault="00761904">
      <w:pPr>
        <w:pStyle w:val="ListParagraph"/>
        <w:numPr>
          <w:ilvl w:val="0"/>
          <w:numId w:val="2"/>
        </w:numPr>
        <w:spacing w:after="80"/>
        <w:rPr>
          <w:noProof/>
          <w:lang w:val="fr-FR"/>
        </w:rPr>
      </w:pPr>
      <w:r w:rsidRPr="00BA08A6">
        <w:rPr>
          <w:noProof/>
          <w:lang w:val="fr-FR"/>
        </w:rPr>
        <w:t>L'appui technique</w:t>
      </w:r>
    </w:p>
    <w:p w14:paraId="517A53C3" w14:textId="77777777" w:rsidR="00D44A43" w:rsidRPr="00BA08A6" w:rsidRDefault="00761904">
      <w:pPr>
        <w:pStyle w:val="ListParagraph"/>
        <w:numPr>
          <w:ilvl w:val="0"/>
          <w:numId w:val="2"/>
        </w:numPr>
        <w:spacing w:after="80"/>
        <w:rPr>
          <w:noProof/>
          <w:lang w:val="fr-FR"/>
        </w:rPr>
      </w:pPr>
      <w:r w:rsidRPr="00BA08A6">
        <w:rPr>
          <w:noProof/>
          <w:lang w:val="fr-FR"/>
        </w:rPr>
        <w:t>Les opportunités d'apprendre avec d'autres</w:t>
      </w:r>
    </w:p>
    <w:p w14:paraId="5CEC2EF6" w14:textId="77777777" w:rsidR="00D44A43" w:rsidRPr="00BA08A6" w:rsidRDefault="00761904">
      <w:pPr>
        <w:spacing w:after="120"/>
        <w:rPr>
          <w:noProof/>
          <w:lang w:val="fr-FR"/>
        </w:rPr>
      </w:pPr>
      <w:r w:rsidRPr="00BA08A6">
        <w:rPr>
          <w:noProof/>
          <w:lang w:val="fr-FR"/>
        </w:rPr>
        <w:t>Lorsqu'on leur a demandé comment le DRF pourrait mieux soutenir le mouvement, les OPH ont déclaré que le DRF pourrait apporter davantage en :</w:t>
      </w:r>
    </w:p>
    <w:p w14:paraId="6BD28C60" w14:textId="77777777" w:rsidR="00D44A43" w:rsidRPr="00BA08A6" w:rsidRDefault="00761904">
      <w:pPr>
        <w:pStyle w:val="ListParagraph"/>
        <w:numPr>
          <w:ilvl w:val="0"/>
          <w:numId w:val="2"/>
        </w:numPr>
        <w:spacing w:after="80"/>
        <w:rPr>
          <w:noProof/>
          <w:lang w:val="fr-FR"/>
        </w:rPr>
      </w:pPr>
      <w:r w:rsidRPr="00BA08A6">
        <w:rPr>
          <w:noProof/>
          <w:lang w:val="fr-FR"/>
        </w:rPr>
        <w:t>Offrant plus d'appui technique</w:t>
      </w:r>
    </w:p>
    <w:p w14:paraId="07602621" w14:textId="77777777" w:rsidR="00D44A43" w:rsidRPr="00BA08A6" w:rsidRDefault="00761904">
      <w:pPr>
        <w:pStyle w:val="ListParagraph"/>
        <w:numPr>
          <w:ilvl w:val="0"/>
          <w:numId w:val="2"/>
        </w:numPr>
        <w:spacing w:after="80"/>
        <w:rPr>
          <w:noProof/>
          <w:lang w:val="fr-FR"/>
        </w:rPr>
      </w:pPr>
      <w:r w:rsidRPr="00BA08A6">
        <w:rPr>
          <w:noProof/>
          <w:lang w:val="fr-FR"/>
        </w:rPr>
        <w:t>Octroyant des subventions plus longues ou plus importantes</w:t>
      </w:r>
    </w:p>
    <w:p w14:paraId="0EA37F02" w14:textId="77777777" w:rsidR="00D44A43" w:rsidRPr="00BA08A6" w:rsidRDefault="00761904">
      <w:pPr>
        <w:pStyle w:val="ListParagraph"/>
        <w:numPr>
          <w:ilvl w:val="0"/>
          <w:numId w:val="2"/>
        </w:numPr>
        <w:spacing w:after="80"/>
        <w:rPr>
          <w:noProof/>
          <w:lang w:val="fr-FR"/>
        </w:rPr>
      </w:pPr>
      <w:r w:rsidRPr="00BA08A6">
        <w:rPr>
          <w:noProof/>
          <w:lang w:val="fr-FR"/>
        </w:rPr>
        <w:t>Créant plus d'opportunités d'apprentissage mutuel</w:t>
      </w:r>
    </w:p>
    <w:p w14:paraId="314C19FD" w14:textId="77777777" w:rsidR="00D44A43" w:rsidRPr="00BA08A6" w:rsidRDefault="00761904">
      <w:pPr>
        <w:spacing w:after="120"/>
        <w:rPr>
          <w:noProof/>
          <w:lang w:val="fr-FR"/>
        </w:rPr>
      </w:pPr>
      <w:r w:rsidRPr="00BA08A6">
        <w:rPr>
          <w:noProof/>
          <w:lang w:val="fr-FR"/>
        </w:rPr>
        <w:t>Les OPH ont également formulé des suggestions pour rendre le travail du DRF plus accessible. Les suggestions les plus courantes étaient :</w:t>
      </w:r>
    </w:p>
    <w:p w14:paraId="4F8DC378" w14:textId="77777777" w:rsidR="00D44A43" w:rsidRPr="00BA08A6" w:rsidRDefault="00761904">
      <w:pPr>
        <w:pStyle w:val="ListParagraph"/>
        <w:numPr>
          <w:ilvl w:val="0"/>
          <w:numId w:val="2"/>
        </w:numPr>
        <w:spacing w:after="80"/>
        <w:rPr>
          <w:noProof/>
          <w:lang w:val="fr-FR"/>
        </w:rPr>
      </w:pPr>
      <w:r w:rsidRPr="00BA08A6">
        <w:rPr>
          <w:noProof/>
          <w:lang w:val="fr-FR"/>
        </w:rPr>
        <w:t>Davantage de langue des signes et de sous-titrage</w:t>
      </w:r>
    </w:p>
    <w:p w14:paraId="0C90B427" w14:textId="77777777" w:rsidR="00D44A43" w:rsidRPr="00BA08A6" w:rsidRDefault="00761904">
      <w:pPr>
        <w:pStyle w:val="ListParagraph"/>
        <w:numPr>
          <w:ilvl w:val="0"/>
          <w:numId w:val="2"/>
        </w:numPr>
        <w:spacing w:after="80"/>
        <w:rPr>
          <w:noProof/>
          <w:lang w:val="fr-FR"/>
        </w:rPr>
      </w:pPr>
      <w:r w:rsidRPr="00BA08A6">
        <w:rPr>
          <w:noProof/>
          <w:lang w:val="fr-FR"/>
        </w:rPr>
        <w:t>Traduire les documents dans les langues locales</w:t>
      </w:r>
    </w:p>
    <w:p w14:paraId="265C02AD" w14:textId="77777777" w:rsidR="00D44A43" w:rsidRPr="00BA08A6" w:rsidRDefault="00761904">
      <w:pPr>
        <w:pStyle w:val="ListParagraph"/>
        <w:numPr>
          <w:ilvl w:val="0"/>
          <w:numId w:val="2"/>
        </w:numPr>
        <w:spacing w:after="80"/>
        <w:rPr>
          <w:noProof/>
          <w:lang w:val="fr-FR"/>
        </w:rPr>
      </w:pPr>
      <w:r w:rsidRPr="00BA08A6">
        <w:rPr>
          <w:noProof/>
          <w:lang w:val="fr-FR"/>
        </w:rPr>
        <w:t>Rendre les sites web et les outils numériques plus faciles à utiliser</w:t>
      </w:r>
    </w:p>
    <w:p w14:paraId="32DF7DC4" w14:textId="77777777" w:rsidR="00D44A43" w:rsidRPr="00BA08A6" w:rsidRDefault="00761904">
      <w:pPr>
        <w:pStyle w:val="ListParagraph"/>
        <w:numPr>
          <w:ilvl w:val="0"/>
          <w:numId w:val="2"/>
        </w:numPr>
        <w:spacing w:after="80"/>
        <w:rPr>
          <w:noProof/>
          <w:lang w:val="fr-FR"/>
        </w:rPr>
      </w:pPr>
      <w:r w:rsidRPr="00BA08A6">
        <w:rPr>
          <w:noProof/>
          <w:lang w:val="fr-FR"/>
        </w:rPr>
        <w:t>Meilleur soutien pour les lecteurs d'écran et le braille</w:t>
      </w:r>
    </w:p>
    <w:p w14:paraId="42E896A7" w14:textId="77777777" w:rsidR="00D44A43" w:rsidRPr="00BA08A6" w:rsidRDefault="00761904">
      <w:pPr>
        <w:pStyle w:val="ListParagraph"/>
        <w:numPr>
          <w:ilvl w:val="0"/>
          <w:numId w:val="2"/>
        </w:numPr>
        <w:spacing w:after="80"/>
        <w:rPr>
          <w:noProof/>
          <w:lang w:val="fr-FR"/>
        </w:rPr>
      </w:pPr>
      <w:r w:rsidRPr="00BA08A6">
        <w:rPr>
          <w:noProof/>
          <w:lang w:val="fr-FR"/>
        </w:rPr>
        <w:t>Plus de documents en langage facile à comprendre</w:t>
      </w:r>
    </w:p>
    <w:p w14:paraId="6FE86553" w14:textId="77777777" w:rsidR="00D44A43" w:rsidRPr="00BA08A6" w:rsidRDefault="00761904">
      <w:pPr>
        <w:pStyle w:val="Heading1"/>
        <w:rPr>
          <w:noProof/>
          <w:lang w:val="fr-FR"/>
        </w:rPr>
      </w:pPr>
      <w:r w:rsidRPr="00BA08A6">
        <w:rPr>
          <w:noProof/>
          <w:lang w:val="fr-FR"/>
        </w:rPr>
        <w:t>Ce que le DRF examinera sur la base des contributions des OPH</w:t>
      </w:r>
    </w:p>
    <w:p w14:paraId="41840721" w14:textId="77777777" w:rsidR="00D44A43" w:rsidRPr="00BA08A6" w:rsidRDefault="00761904">
      <w:pPr>
        <w:spacing w:after="120"/>
        <w:rPr>
          <w:noProof/>
          <w:lang w:val="fr-FR"/>
        </w:rPr>
      </w:pPr>
      <w:r w:rsidRPr="00BA08A6">
        <w:rPr>
          <w:noProof/>
          <w:lang w:val="fr-FR"/>
        </w:rPr>
        <w:t>Le DRF utilisera ces données pour examiner les recommandations suivantes :</w:t>
      </w:r>
    </w:p>
    <w:p w14:paraId="01125F13" w14:textId="77777777" w:rsidR="00D44A43" w:rsidRPr="00BA08A6" w:rsidRDefault="00761904">
      <w:pPr>
        <w:pStyle w:val="ListParagraph"/>
        <w:numPr>
          <w:ilvl w:val="0"/>
          <w:numId w:val="2"/>
        </w:numPr>
        <w:spacing w:after="80"/>
        <w:rPr>
          <w:noProof/>
          <w:lang w:val="fr-FR"/>
        </w:rPr>
      </w:pPr>
      <w:r w:rsidRPr="00BA08A6">
        <w:rPr>
          <w:noProof/>
          <w:lang w:val="fr-FR"/>
        </w:rPr>
        <w:t>Discuter avec les OPH partenaires des raisons pour lesquelles il est plus difficile d'utiliser les connaissances des autres que de les partager. Le DRF souhaite comprendre s'il s'agit d'un problème et ce qui pourrait aider.</w:t>
      </w:r>
    </w:p>
    <w:p w14:paraId="38D60676" w14:textId="77777777" w:rsidR="00D44A43" w:rsidRPr="00BA08A6" w:rsidRDefault="00761904">
      <w:pPr>
        <w:pStyle w:val="ListParagraph"/>
        <w:numPr>
          <w:ilvl w:val="0"/>
          <w:numId w:val="2"/>
        </w:numPr>
        <w:spacing w:after="80"/>
        <w:rPr>
          <w:noProof/>
          <w:lang w:val="fr-FR"/>
        </w:rPr>
      </w:pPr>
      <w:r w:rsidRPr="00BA08A6">
        <w:rPr>
          <w:noProof/>
          <w:lang w:val="fr-FR"/>
        </w:rPr>
        <w:t>Continuer à investir dans les OPH plus récentes.</w:t>
      </w:r>
    </w:p>
    <w:p w14:paraId="05C2BD4E" w14:textId="77777777" w:rsidR="00D44A43" w:rsidRPr="00BA08A6" w:rsidRDefault="00761904">
      <w:pPr>
        <w:pStyle w:val="ListParagraph"/>
        <w:numPr>
          <w:ilvl w:val="0"/>
          <w:numId w:val="2"/>
        </w:numPr>
        <w:spacing w:after="80"/>
        <w:rPr>
          <w:noProof/>
          <w:lang w:val="fr-FR"/>
        </w:rPr>
      </w:pPr>
      <w:r w:rsidRPr="00BA08A6">
        <w:rPr>
          <w:noProof/>
          <w:lang w:val="fr-FR"/>
        </w:rPr>
        <w:lastRenderedPageBreak/>
        <w:t>Envisager d'ajouter à la prochaine enquête des questions sur le safeguarding, les obstacles au travail en commun et la démocratie.</w:t>
      </w:r>
    </w:p>
    <w:p w14:paraId="1AE50F83" w14:textId="77777777" w:rsidR="00D44A43" w:rsidRPr="00BA08A6" w:rsidRDefault="00761904">
      <w:pPr>
        <w:pStyle w:val="ListParagraph"/>
        <w:numPr>
          <w:ilvl w:val="0"/>
          <w:numId w:val="2"/>
        </w:numPr>
        <w:spacing w:after="80"/>
        <w:rPr>
          <w:noProof/>
          <w:lang w:val="fr-FR"/>
        </w:rPr>
      </w:pPr>
      <w:r w:rsidRPr="00BA08A6">
        <w:rPr>
          <w:noProof/>
          <w:lang w:val="fr-FR"/>
        </w:rPr>
        <w:t>Examiner les pratiques d'accessibilité du DFRF en fonction des suggestions des OPH.</w:t>
      </w:r>
    </w:p>
    <w:sectPr w:rsidR="00D44A43" w:rsidRPr="00BA08A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ED0"/>
    <w:multiLevelType w:val="hybridMultilevel"/>
    <w:tmpl w:val="32400696"/>
    <w:lvl w:ilvl="0" w:tplc="29CCDBA2">
      <w:start w:val="1"/>
      <w:numFmt w:val="bullet"/>
      <w:lvlText w:val="•"/>
      <w:lvlJc w:val="left"/>
      <w:pPr>
        <w:ind w:left="720" w:hanging="360"/>
      </w:pPr>
    </w:lvl>
    <w:lvl w:ilvl="1" w:tplc="89948022">
      <w:numFmt w:val="decimal"/>
      <w:lvlText w:val=""/>
      <w:lvlJc w:val="left"/>
    </w:lvl>
    <w:lvl w:ilvl="2" w:tplc="F6582B76">
      <w:numFmt w:val="decimal"/>
      <w:lvlText w:val=""/>
      <w:lvlJc w:val="left"/>
    </w:lvl>
    <w:lvl w:ilvl="3" w:tplc="CF240F64">
      <w:numFmt w:val="decimal"/>
      <w:lvlText w:val=""/>
      <w:lvlJc w:val="left"/>
    </w:lvl>
    <w:lvl w:ilvl="4" w:tplc="E8161EE6">
      <w:numFmt w:val="decimal"/>
      <w:lvlText w:val=""/>
      <w:lvlJc w:val="left"/>
    </w:lvl>
    <w:lvl w:ilvl="5" w:tplc="BB02F232">
      <w:numFmt w:val="decimal"/>
      <w:lvlText w:val=""/>
      <w:lvlJc w:val="left"/>
    </w:lvl>
    <w:lvl w:ilvl="6" w:tplc="1BD4E3C0">
      <w:numFmt w:val="decimal"/>
      <w:lvlText w:val=""/>
      <w:lvlJc w:val="left"/>
    </w:lvl>
    <w:lvl w:ilvl="7" w:tplc="D9A069BE">
      <w:numFmt w:val="decimal"/>
      <w:lvlText w:val=""/>
      <w:lvlJc w:val="left"/>
    </w:lvl>
    <w:lvl w:ilvl="8" w:tplc="FB1C23B0">
      <w:numFmt w:val="decimal"/>
      <w:lvlText w:val=""/>
      <w:lvlJc w:val="left"/>
    </w:lvl>
  </w:abstractNum>
  <w:abstractNum w:abstractNumId="1" w15:restartNumberingAfterBreak="0">
    <w:nsid w:val="696E6ACD"/>
    <w:multiLevelType w:val="hybridMultilevel"/>
    <w:tmpl w:val="FA54E9FA"/>
    <w:lvl w:ilvl="0" w:tplc="D980A21C">
      <w:start w:val="1"/>
      <w:numFmt w:val="bullet"/>
      <w:lvlText w:val="●"/>
      <w:lvlJc w:val="left"/>
      <w:pPr>
        <w:ind w:left="720" w:hanging="360"/>
      </w:pPr>
    </w:lvl>
    <w:lvl w:ilvl="1" w:tplc="BC34983C">
      <w:start w:val="1"/>
      <w:numFmt w:val="bullet"/>
      <w:lvlText w:val="○"/>
      <w:lvlJc w:val="left"/>
      <w:pPr>
        <w:ind w:left="1440" w:hanging="360"/>
      </w:pPr>
    </w:lvl>
    <w:lvl w:ilvl="2" w:tplc="E3AAABC8">
      <w:start w:val="1"/>
      <w:numFmt w:val="bullet"/>
      <w:lvlText w:val="■"/>
      <w:lvlJc w:val="left"/>
      <w:pPr>
        <w:ind w:left="2160" w:hanging="360"/>
      </w:pPr>
    </w:lvl>
    <w:lvl w:ilvl="3" w:tplc="A34062BC">
      <w:start w:val="1"/>
      <w:numFmt w:val="bullet"/>
      <w:lvlText w:val="●"/>
      <w:lvlJc w:val="left"/>
      <w:pPr>
        <w:ind w:left="2880" w:hanging="360"/>
      </w:pPr>
    </w:lvl>
    <w:lvl w:ilvl="4" w:tplc="30049232">
      <w:start w:val="1"/>
      <w:numFmt w:val="bullet"/>
      <w:lvlText w:val="○"/>
      <w:lvlJc w:val="left"/>
      <w:pPr>
        <w:ind w:left="3600" w:hanging="360"/>
      </w:pPr>
    </w:lvl>
    <w:lvl w:ilvl="5" w:tplc="EC807678">
      <w:start w:val="1"/>
      <w:numFmt w:val="bullet"/>
      <w:lvlText w:val="■"/>
      <w:lvlJc w:val="left"/>
      <w:pPr>
        <w:ind w:left="4320" w:hanging="360"/>
      </w:pPr>
    </w:lvl>
    <w:lvl w:ilvl="6" w:tplc="355C51DC">
      <w:start w:val="1"/>
      <w:numFmt w:val="bullet"/>
      <w:lvlText w:val="●"/>
      <w:lvlJc w:val="left"/>
      <w:pPr>
        <w:ind w:left="5040" w:hanging="360"/>
      </w:pPr>
    </w:lvl>
    <w:lvl w:ilvl="7" w:tplc="F7087EDE">
      <w:start w:val="1"/>
      <w:numFmt w:val="bullet"/>
      <w:lvlText w:val="●"/>
      <w:lvlJc w:val="left"/>
      <w:pPr>
        <w:ind w:left="5760" w:hanging="360"/>
      </w:pPr>
    </w:lvl>
    <w:lvl w:ilvl="8" w:tplc="A254172C">
      <w:start w:val="1"/>
      <w:numFmt w:val="bullet"/>
      <w:lvlText w:val="●"/>
      <w:lvlJc w:val="left"/>
      <w:pPr>
        <w:ind w:left="6480" w:hanging="360"/>
      </w:pPr>
    </w:lvl>
  </w:abstractNum>
  <w:num w:numId="1" w16cid:durableId="274142008">
    <w:abstractNumId w:val="1"/>
    <w:lvlOverride w:ilvl="0">
      <w:startOverride w:val="1"/>
    </w:lvlOverride>
  </w:num>
  <w:num w:numId="2" w16cid:durableId="21216074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A43"/>
    <w:rsid w:val="001854F8"/>
    <w:rsid w:val="00761904"/>
    <w:rsid w:val="00BA08A6"/>
    <w:rsid w:val="00D4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19BDCC"/>
  <w15:docId w15:val="{DF580992-4591-F340-859F-0DEBEA98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000000"/>
      <w:sz w:val="32"/>
      <w:szCs w:val="32"/>
    </w:rPr>
  </w:style>
  <w:style w:type="paragraph" w:styleId="Heading2">
    <w:name w:val="heading 2"/>
    <w:uiPriority w:val="9"/>
    <w:unhideWhenUsed/>
    <w:qFormat/>
    <w:pPr>
      <w:spacing w:before="280" w:after="140"/>
      <w:outlineLvl w:val="1"/>
    </w:pPr>
    <w:rPr>
      <w:b/>
      <w:bCs/>
      <w:color w:val="000000"/>
      <w:sz w:val="28"/>
      <w:szCs w:val="28"/>
    </w:rPr>
  </w:style>
  <w:style w:type="paragraph" w:styleId="Heading3">
    <w:name w:val="heading 3"/>
    <w:uiPriority w:val="9"/>
    <w:unhideWhenUsed/>
    <w:qFormat/>
    <w:pPr>
      <w:spacing w:before="200" w:after="10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D98ACDA2DAF429C556102D51BA9DD" ma:contentTypeVersion="13" ma:contentTypeDescription="Create a new document." ma:contentTypeScope="" ma:versionID="c89bfe110a6386b66336705bcfc0a8d2">
  <xsd:schema xmlns:xsd="http://www.w3.org/2001/XMLSchema" xmlns:xs="http://www.w3.org/2001/XMLSchema" xmlns:p="http://schemas.microsoft.com/office/2006/metadata/properties" xmlns:ns2="be240c68-9d92-48db-8a51-6c5264d9de25" xmlns:ns3="be39d354-04f7-4288-b933-2f279206bf9f" targetNamespace="http://schemas.microsoft.com/office/2006/metadata/properties" ma:root="true" ma:fieldsID="34a65402825c77d07210cb349c7a5b7d" ns2:_="" ns3:_="">
    <xsd:import namespace="be240c68-9d92-48db-8a51-6c5264d9de25"/>
    <xsd:import namespace="be39d354-04f7-4288-b933-2f279206bf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40c68-9d92-48db-8a51-6c5264d9d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8c4225-273c-4a16-8bf7-d672eda331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9d354-04f7-4288-b933-2f279206bf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2f4656-c541-49a3-a1ea-a64632cd1ccf}" ma:internalName="TaxCatchAll" ma:showField="CatchAllData" ma:web="be39d354-04f7-4288-b933-2f279206bf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240c68-9d92-48db-8a51-6c5264d9de25">
      <Terms xmlns="http://schemas.microsoft.com/office/infopath/2007/PartnerControls"/>
    </lcf76f155ced4ddcb4097134ff3c332f>
    <TaxCatchAll xmlns="be39d354-04f7-4288-b933-2f279206bf9f" xsi:nil="true"/>
  </documentManagement>
</p:properties>
</file>

<file path=customXml/itemProps1.xml><?xml version="1.0" encoding="utf-8"?>
<ds:datastoreItem xmlns:ds="http://schemas.openxmlformats.org/officeDocument/2006/customXml" ds:itemID="{D069BDBB-899D-4262-B742-A4C1306BB713}"/>
</file>

<file path=customXml/itemProps2.xml><?xml version="1.0" encoding="utf-8"?>
<ds:datastoreItem xmlns:ds="http://schemas.openxmlformats.org/officeDocument/2006/customXml" ds:itemID="{7028E452-373B-4F01-9C54-CC7CA6843908}"/>
</file>

<file path=customXml/itemProps3.xml><?xml version="1.0" encoding="utf-8"?>
<ds:datastoreItem xmlns:ds="http://schemas.openxmlformats.org/officeDocument/2006/customXml" ds:itemID="{68AE9864-E1EA-4C39-B09C-ED453A5F2C8F}"/>
</file>

<file path=docProps/app.xml><?xml version="1.0" encoding="utf-8"?>
<Properties xmlns="http://schemas.openxmlformats.org/officeDocument/2006/extended-properties" xmlns:vt="http://schemas.openxmlformats.org/officeDocument/2006/docPropsVTypes">
  <Template>Normal.dotm</Template>
  <TotalTime>1</TotalTime>
  <Pages>5</Pages>
  <Words>1581</Words>
  <Characters>8652</Characters>
  <Application>Microsoft Office Word</Application>
  <DocSecurity>0</DocSecurity>
  <Lines>169</Lines>
  <Paragraphs>95</Paragraphs>
  <ScaleCrop>false</ScaleCrop>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Feedback aux Partenaires AGS 2026</dc:title>
  <dc:creator>Disability Rights Fund</dc:creator>
  <cp:lastModifiedBy>Melanie Kawano-Chiu</cp:lastModifiedBy>
  <cp:revision>2</cp:revision>
  <dcterms:created xsi:type="dcterms:W3CDTF">2026-05-16T20:40:00Z</dcterms:created>
  <dcterms:modified xsi:type="dcterms:W3CDTF">2026-05-16T20:40:00Z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0x010100FD6D98ACDA2DAF429C556102D51BA9DD</vt:lpwstr>
  </property>
</Properties>
</file>